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eastAsia="黑体"/>
          <w:bCs/>
          <w:sz w:val="48"/>
          <w:szCs w:val="48"/>
          <w:highlight w:val="none"/>
        </w:rPr>
      </w:pPr>
    </w:p>
    <w:p>
      <w:pPr>
        <w:pStyle w:val="22"/>
        <w:spacing w:line="800" w:lineRule="atLeast"/>
        <w:outlineLvl w:val="0"/>
        <w:rPr>
          <w:rFonts w:hint="default" w:eastAsia="黑体"/>
          <w:b/>
          <w:sz w:val="48"/>
          <w:szCs w:val="48"/>
          <w:lang w:val="en-US" w:eastAsia="zh-CN"/>
        </w:rPr>
      </w:pPr>
      <w:bookmarkStart w:id="0" w:name="_Toc14665"/>
      <w:bookmarkStart w:id="1" w:name="_Toc16686"/>
      <w:bookmarkStart w:id="2" w:name="_Toc31629"/>
      <w:r>
        <w:rPr>
          <w:rFonts w:hint="eastAsia" w:eastAsia="黑体"/>
          <w:color w:val="000000"/>
          <w:spacing w:val="-10"/>
          <w:kern w:val="0"/>
          <w:sz w:val="48"/>
          <w:szCs w:val="48"/>
        </w:rPr>
        <w:t>丰顺县建桥镇</w:t>
      </w:r>
      <w:bookmarkStart w:id="52" w:name="_GoBack"/>
      <w:bookmarkEnd w:id="52"/>
      <w:r>
        <w:rPr>
          <w:rFonts w:hint="eastAsia"/>
          <w:sz w:val="48"/>
          <w:szCs w:val="48"/>
          <w:lang w:val="en-US" w:eastAsia="zh-CN"/>
        </w:rPr>
        <w:t>洋坑水库除险加固工程</w:t>
      </w:r>
      <w:bookmarkEnd w:id="0"/>
      <w:bookmarkEnd w:id="1"/>
      <w:bookmarkEnd w:id="2"/>
    </w:p>
    <w:p>
      <w:pPr>
        <w:pStyle w:val="22"/>
        <w:spacing w:line="800" w:lineRule="atLeast"/>
        <w:rPr>
          <w:sz w:val="48"/>
          <w:szCs w:val="48"/>
        </w:rPr>
      </w:pPr>
      <w:r>
        <w:rPr>
          <w:sz w:val="48"/>
          <w:szCs w:val="48"/>
        </w:rPr>
        <w:t>初步设计报告</w:t>
      </w:r>
    </w:p>
    <w:p>
      <w:pPr>
        <w:pStyle w:val="23"/>
        <w:ind w:firstLine="480"/>
      </w:pPr>
    </w:p>
    <w:p>
      <w:pPr>
        <w:pStyle w:val="22"/>
      </w:pPr>
    </w:p>
    <w:p>
      <w:pPr>
        <w:pStyle w:val="22"/>
      </w:pPr>
    </w:p>
    <w:p>
      <w:pPr>
        <w:pStyle w:val="22"/>
      </w:pPr>
    </w:p>
    <w:p>
      <w:pPr>
        <w:pStyle w:val="22"/>
        <w:outlineLvl w:val="0"/>
        <w:rPr>
          <w:rFonts w:hint="eastAsia" w:eastAsia="黑体"/>
          <w:sz w:val="36"/>
          <w:lang w:eastAsia="zh-CN"/>
        </w:rPr>
      </w:pPr>
      <w:bookmarkStart w:id="3" w:name="_Toc14826"/>
      <w:bookmarkStart w:id="4" w:name="_Toc14500"/>
      <w:bookmarkStart w:id="5" w:name="_Toc27672"/>
      <w:r>
        <w:rPr>
          <w:rFonts w:hint="eastAsia"/>
          <w:b/>
          <w:sz w:val="36"/>
          <w:lang w:val="en-US" w:eastAsia="zh-CN"/>
        </w:rPr>
        <w:t>1</w:t>
      </w:r>
      <w:bookmarkEnd w:id="3"/>
      <w:bookmarkEnd w:id="4"/>
      <w:bookmarkEnd w:id="5"/>
      <w:r>
        <w:rPr>
          <w:rFonts w:hint="eastAsia"/>
          <w:b/>
          <w:sz w:val="36"/>
          <w:lang w:val="en-US" w:eastAsia="zh-CN"/>
        </w:rPr>
        <w:t>3</w:t>
      </w:r>
      <w:r>
        <w:rPr>
          <w:rFonts w:hint="eastAsia"/>
          <w:sz w:val="36"/>
          <w:lang w:eastAsia="zh-CN"/>
        </w:rPr>
        <w:t>工程管理</w:t>
      </w:r>
    </w:p>
    <w:p>
      <w:pPr>
        <w:spacing w:line="500" w:lineRule="atLeast"/>
        <w:jc w:val="center"/>
        <w:rPr>
          <w:sz w:val="24"/>
          <w:highlight w:val="none"/>
        </w:rPr>
      </w:pPr>
    </w:p>
    <w:p>
      <w:pPr>
        <w:spacing w:line="500" w:lineRule="atLeast"/>
        <w:jc w:val="center"/>
        <w:rPr>
          <w:sz w:val="24"/>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sectPr>
          <w:pgSz w:w="11906" w:h="16838"/>
          <w:pgMar w:top="1440" w:right="1800" w:bottom="1440" w:left="1800" w:header="851" w:footer="992" w:gutter="0"/>
          <w:pgNumType w:fmt="decimal"/>
          <w:cols w:space="425" w:num="1"/>
          <w:docGrid w:type="lines" w:linePitch="312" w:charSpace="0"/>
        </w:sectPr>
      </w:pPr>
    </w:p>
    <w:sdt>
      <w:sdtPr>
        <w:rPr>
          <w:rFonts w:ascii="宋体" w:hAnsi="宋体" w:eastAsia="宋体" w:cs="Times New Roman"/>
          <w:kern w:val="2"/>
          <w:sz w:val="21"/>
          <w:szCs w:val="24"/>
          <w:lang w:val="en-US" w:eastAsia="zh-CN" w:bidi="ar-SA"/>
        </w:rPr>
        <w:id w:val="729390010"/>
        <w:docPartObj>
          <w:docPartGallery w:val="Table of Contents"/>
          <w:docPartUnique/>
        </w:docPartObj>
      </w:sdtPr>
      <w:sdtEndPr>
        <w:rPr>
          <w:rFonts w:ascii="Times New Roman" w:hAnsi="Times New Roman"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bookmarkStart w:id="6" w:name="_Toc554130251_WPSOffice_Type1"/>
        </w:p>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pPr>
            <w:pStyle w:val="2"/>
            <w:rPr>
              <w:rFonts w:hint="eastAsia"/>
            </w:rPr>
          </w:pP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_Toc507457339_WPSOffice_Level1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c1440521-46f8-4f25-a6d3-c9a0e0949bd7}"/>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13.1 管理机构及人员编制</w:t>
              </w:r>
            </w:sdtContent>
          </w:sdt>
          <w:r>
            <w:rPr>
              <w:rFonts w:hint="eastAsia" w:asciiTheme="minorEastAsia" w:hAnsiTheme="minorEastAsia" w:eastAsiaTheme="minorEastAsia" w:cstheme="minorEastAsia"/>
              <w:sz w:val="28"/>
              <w:szCs w:val="28"/>
            </w:rPr>
            <w:tab/>
          </w:r>
          <w:bookmarkStart w:id="7" w:name="_Toc507457339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1</w:t>
          </w:r>
          <w:bookmarkEnd w:id="7"/>
          <w:r>
            <w:rPr>
              <w:rFonts w:hint="eastAsia" w:asciiTheme="minorEastAsia" w:hAnsiTheme="minorEastAsia" w:eastAsiaTheme="minorEastAsia" w:cstheme="minorEastAsia"/>
              <w:sz w:val="28"/>
              <w:szCs w:val="28"/>
            </w:rPr>
            <w:fldChar w:fldCharType="end"/>
          </w: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_Toc554130251_WPSOffice_Level1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b4228668-bbab-4228-b048-630c3238b0a7}"/>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13.2 工程管理范围和保护范围</w:t>
              </w:r>
            </w:sdtContent>
          </w:sdt>
          <w:r>
            <w:rPr>
              <w:rFonts w:hint="eastAsia" w:asciiTheme="minorEastAsia" w:hAnsiTheme="minorEastAsia" w:eastAsiaTheme="minorEastAsia" w:cstheme="minorEastAsia"/>
              <w:sz w:val="28"/>
              <w:szCs w:val="28"/>
            </w:rPr>
            <w:tab/>
          </w:r>
          <w:bookmarkStart w:id="8" w:name="_Toc554130251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2</w:t>
          </w:r>
          <w:bookmarkEnd w:id="8"/>
          <w:r>
            <w:rPr>
              <w:rFonts w:hint="eastAsia" w:asciiTheme="minorEastAsia" w:hAnsiTheme="minorEastAsia" w:eastAsiaTheme="minorEastAsia" w:cstheme="minorEastAsia"/>
              <w:sz w:val="28"/>
              <w:szCs w:val="28"/>
            </w:rPr>
            <w:fldChar w:fldCharType="end"/>
          </w: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_Toc105022124_WPSOffice_Level1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dba68223-f530-44d9-b12b-d61e12974e9d}"/>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13.3 工程管理制度</w:t>
              </w:r>
            </w:sdtContent>
          </w:sdt>
          <w:r>
            <w:rPr>
              <w:rFonts w:hint="eastAsia" w:asciiTheme="minorEastAsia" w:hAnsiTheme="minorEastAsia" w:eastAsiaTheme="minorEastAsia" w:cstheme="minorEastAsia"/>
              <w:sz w:val="28"/>
              <w:szCs w:val="28"/>
            </w:rPr>
            <w:tab/>
          </w:r>
          <w:bookmarkStart w:id="9" w:name="_Toc105022124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2</w:t>
          </w:r>
          <w:bookmarkEnd w:id="9"/>
          <w:r>
            <w:rPr>
              <w:rFonts w:hint="eastAsia" w:asciiTheme="minorEastAsia" w:hAnsiTheme="minorEastAsia" w:eastAsiaTheme="minorEastAsia" w:cstheme="minorEastAsia"/>
              <w:sz w:val="28"/>
              <w:szCs w:val="28"/>
            </w:rPr>
            <w:fldChar w:fldCharType="end"/>
          </w: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_Toc927221049_WPSOffice_Level1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f568cc51-d2c4-4e7d-ac2c-00c4e753322d}"/>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13.4管理设施与设备</w:t>
              </w:r>
            </w:sdtContent>
          </w:sdt>
          <w:r>
            <w:rPr>
              <w:rFonts w:hint="eastAsia" w:asciiTheme="minorEastAsia" w:hAnsiTheme="minorEastAsia" w:eastAsiaTheme="minorEastAsia" w:cstheme="minorEastAsia"/>
              <w:sz w:val="28"/>
              <w:szCs w:val="28"/>
            </w:rPr>
            <w:tab/>
          </w:r>
          <w:bookmarkStart w:id="10" w:name="_Toc927221049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4</w:t>
          </w:r>
          <w:bookmarkEnd w:id="10"/>
          <w:r>
            <w:rPr>
              <w:rFonts w:hint="eastAsia" w:asciiTheme="minorEastAsia" w:hAnsiTheme="minorEastAsia" w:eastAsiaTheme="minorEastAsia" w:cstheme="minorEastAsia"/>
              <w:sz w:val="28"/>
              <w:szCs w:val="28"/>
            </w:rPr>
            <w:fldChar w:fldCharType="end"/>
          </w: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_Toc1283018822_WPSOffice_Level1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b8cade3e-97a1-4748-a10c-1637c431eb4c}"/>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13.5 大坝白蚁防治</w:t>
              </w:r>
            </w:sdtContent>
          </w:sdt>
          <w:r>
            <w:rPr>
              <w:rFonts w:hint="eastAsia" w:asciiTheme="minorEastAsia" w:hAnsiTheme="minorEastAsia" w:eastAsiaTheme="minorEastAsia" w:cstheme="minorEastAsia"/>
              <w:sz w:val="28"/>
              <w:szCs w:val="28"/>
            </w:rPr>
            <w:tab/>
          </w:r>
          <w:bookmarkStart w:id="11" w:name="_Toc1283018822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7</w:t>
          </w:r>
          <w:bookmarkEnd w:id="11"/>
          <w:r>
            <w:rPr>
              <w:rFonts w:hint="eastAsia" w:asciiTheme="minorEastAsia" w:hAnsiTheme="minorEastAsia" w:eastAsiaTheme="minorEastAsia" w:cstheme="minorEastAsia"/>
              <w:sz w:val="28"/>
              <w:szCs w:val="28"/>
            </w:rPr>
            <w:fldChar w:fldCharType="end"/>
          </w:r>
        </w:p>
        <w:p>
          <w:pPr>
            <w:pStyle w:val="30"/>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_Toc695586671_WPSOffice_Level1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729390010"/>
              <w:placeholder>
                <w:docPart w:val="{5901ee7d-6391-46a8-a8d3-b6c52dd19a19}"/>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13.6防汛备汛</w:t>
              </w:r>
            </w:sdtContent>
          </w:sdt>
          <w:r>
            <w:rPr>
              <w:rFonts w:hint="eastAsia" w:asciiTheme="minorEastAsia" w:hAnsiTheme="minorEastAsia" w:eastAsiaTheme="minorEastAsia" w:cstheme="minorEastAsia"/>
              <w:sz w:val="28"/>
              <w:szCs w:val="28"/>
            </w:rPr>
            <w:tab/>
          </w:r>
          <w:bookmarkStart w:id="12" w:name="_Toc695586671_WPSOffice_Level1Page"/>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8</w:t>
          </w:r>
          <w:bookmarkEnd w:id="12"/>
          <w:r>
            <w:rPr>
              <w:rFonts w:hint="eastAsia" w:asciiTheme="minorEastAsia" w:hAnsiTheme="minorEastAsia" w:eastAsiaTheme="minorEastAsia" w:cstheme="minorEastAsia"/>
              <w:sz w:val="28"/>
              <w:szCs w:val="28"/>
            </w:rPr>
            <w:fldChar w:fldCharType="end"/>
          </w:r>
        </w:p>
        <w:bookmarkEnd w:id="6"/>
        <w:p>
          <w:pPr>
            <w:pStyle w:val="30"/>
            <w:tabs>
              <w:tab w:val="right" w:leader="dot" w:pos="8306"/>
            </w:tabs>
            <w:ind w:left="0" w:leftChars="0"/>
          </w:pPr>
        </w:p>
      </w:sdtContent>
    </w:sdt>
    <w:p>
      <w:pPr>
        <w:adjustRightInd/>
        <w:snapToGrid/>
        <w:ind w:firstLine="602"/>
        <w:jc w:val="center"/>
        <w:rPr>
          <w:rFonts w:hint="default"/>
          <w:lang w:val="en-US" w:eastAsia="zh-CN"/>
        </w:rPr>
      </w:pPr>
      <w:r>
        <w:rPr>
          <w:rFonts w:hint="default"/>
          <w:lang w:val="en-US" w:eastAsia="zh-CN"/>
        </w:rPr>
        <w:object>
          <v:shape id="_x0000_i1025" o:spt="75" type="#_x0000_t75" style="height:546pt;width:415.5pt;" o:ole="t" filled="f" o:preferrelative="t" stroked="f" coordsize="21600,21600">
            <v:path/>
            <v:fill on="f" focussize="0,0"/>
            <v:stroke on="f"/>
            <v:imagedata r:id="rId9" o:title="olewpsimg_1666081194032393_749469952"/>
            <o:lock v:ext="edit" aspectratio="t"/>
            <w10:wrap type="none"/>
            <w10:anchorlock/>
          </v:shape>
          <o:OLEObject Type="Embed" ProgID="Word.Document.12" ShapeID="_x0000_i1025" DrawAspect="Content" ObjectID="_1468075725" r:id="rId8">
            <o:LockedField>false</o:LockedField>
          </o:OLEObject>
        </w:object>
      </w:r>
    </w:p>
    <w:p>
      <w:pPr>
        <w:adjustRightInd/>
        <w:snapToGrid/>
        <w:ind w:firstLine="602"/>
        <w:jc w:val="center"/>
        <w:rPr>
          <w:rFonts w:hint="eastAsia" w:ascii="Times New Roman" w:hAnsi="Times New Roman" w:eastAsia="黑体" w:cs="Times New Roman"/>
          <w:color w:val="000000"/>
          <w:kern w:val="44"/>
          <w:sz w:val="30"/>
          <w:szCs w:val="20"/>
          <w:lang w:val="en-US" w:eastAsia="zh-CN" w:bidi="ar-SA"/>
        </w:rPr>
        <w:sectPr>
          <w:footerReference r:id="rId5" w:type="default"/>
          <w:pgSz w:w="11906" w:h="16838"/>
          <w:pgMar w:top="1440" w:right="1800" w:bottom="1440" w:left="1800" w:header="851" w:footer="992" w:gutter="0"/>
          <w:pgNumType w:fmt="decimal" w:start="1"/>
          <w:cols w:space="425" w:num="1"/>
          <w:docGrid w:type="lines" w:linePitch="312" w:charSpace="0"/>
        </w:sectPr>
      </w:pPr>
    </w:p>
    <w:p>
      <w:pPr>
        <w:adjustRightInd/>
        <w:snapToGrid/>
        <w:ind w:firstLine="602"/>
        <w:jc w:val="center"/>
        <w:rPr>
          <w:rFonts w:ascii="Times New Roman" w:hAnsi="Times New Roman" w:eastAsia="黑体" w:cs="Times New Roman"/>
          <w:color w:val="000000"/>
          <w:kern w:val="44"/>
          <w:sz w:val="30"/>
          <w:szCs w:val="20"/>
          <w:lang w:val="en-US" w:eastAsia="zh-CN" w:bidi="ar-SA"/>
        </w:rPr>
      </w:pPr>
      <w:r>
        <w:rPr>
          <w:rFonts w:hint="eastAsia" w:ascii="Times New Roman" w:hAnsi="Times New Roman" w:eastAsia="黑体" w:cs="Times New Roman"/>
          <w:color w:val="000000"/>
          <w:kern w:val="44"/>
          <w:sz w:val="30"/>
          <w:szCs w:val="20"/>
          <w:lang w:val="en-US" w:eastAsia="zh-CN" w:bidi="ar-SA"/>
        </w:rPr>
        <w:t>1</w:t>
      </w:r>
      <w:r>
        <w:rPr>
          <w:rFonts w:ascii="Times New Roman" w:hAnsi="Times New Roman" w:eastAsia="黑体" w:cs="Times New Roman"/>
          <w:color w:val="000000"/>
          <w:kern w:val="44"/>
          <w:sz w:val="30"/>
          <w:szCs w:val="20"/>
          <w:lang w:val="en-US" w:eastAsia="zh-CN" w:bidi="ar-SA"/>
        </w:rPr>
        <w:t>3  工程管理</w:t>
      </w:r>
    </w:p>
    <w:p>
      <w:pPr>
        <w:bidi w:val="0"/>
        <w:rPr>
          <w:rFonts w:hint="eastAsia"/>
        </w:rPr>
      </w:pPr>
      <w:r>
        <w:rPr>
          <w:rFonts w:hint="eastAsia"/>
        </w:rPr>
        <w:t>为全面贯彻落实党的十九大精神，以习近平新时代中国特色社会主义思想为指导，积极践行“节水优先、空间均衡、系统治理、两手发力”的十六字治水方针，紧紧围绕“水利工程补短板，水利行业强监管”水利改革发展总基调，强化小型水库安全管理责任，进一步提升小型水库运行管理水平，守住小型水库安全底线，广东省水利厅2019 年8 月制定了《广东省小型水库安全运行管理标准化工作指引（试行）》，从基础管理、运行管理、安全管理、信息化管理和标准化达标等方面提出了广东省小型水库安全运行管理要求。</w:t>
      </w:r>
    </w:p>
    <w:p>
      <w:pPr>
        <w:bidi w:val="0"/>
      </w:pPr>
      <w:r>
        <w:rPr>
          <w:rFonts w:hint="eastAsia"/>
        </w:rPr>
        <w:t>根据《广东省水利厅关于落实病险水库除险加固工作中几项重要内容的通知》（粤水运管函〔2021〕1318 号）的要求，为汲取近期国内水库失事教训， 应对极端异常天气和超标准洪水，科学实施病险水库除险加固，确保水库安全运行底线，按照水利部相关要求，病险水库除险加固工作中要秉持“建管并重”的理念，切实提高除险加固前期工作质量，初步设计方案要同步落实各项水库建后管护设施建设。防汛道路、管理用房、雨水情测报设施、安全监测设施、标识标牌、界桩、防汛物资等管护设施应同期实施，同步验收。</w:t>
      </w:r>
    </w:p>
    <w:p>
      <w:pPr>
        <w:pStyle w:val="5"/>
        <w:bidi w:val="0"/>
      </w:pPr>
      <w:bookmarkStart w:id="13" w:name="_Toc507457339_WPSOffice_Level1"/>
      <w:bookmarkStart w:id="14" w:name="_Toc116672288"/>
      <w:r>
        <w:t xml:space="preserve">13.1 </w:t>
      </w:r>
      <w:r>
        <w:rPr>
          <w:rFonts w:hint="eastAsia"/>
        </w:rPr>
        <w:t>管理机构及人员编制</w:t>
      </w:r>
      <w:bookmarkEnd w:id="13"/>
      <w:bookmarkEnd w:id="14"/>
    </w:p>
    <w:p>
      <w:pPr>
        <w:ind w:firstLine="480"/>
      </w:pPr>
      <w:r>
        <w:rPr>
          <w:rFonts w:hint="eastAsia"/>
        </w:rPr>
        <w:t>洋坑水库为小（一）型水库，水库</w:t>
      </w:r>
      <w:r>
        <w:t>主管部门为</w:t>
      </w:r>
      <w:r>
        <w:rPr>
          <w:rFonts w:hint="eastAsia"/>
        </w:rPr>
        <w:t>丰顺县水务局，水库安全管理责任主体为建桥镇人民政府，</w:t>
      </w:r>
      <w:r>
        <w:t>运行管理机构为</w:t>
      </w:r>
      <w:r>
        <w:rPr>
          <w:rFonts w:hint="eastAsia"/>
        </w:rPr>
        <w:t>建桥镇农业服务中心</w:t>
      </w:r>
      <w:r>
        <w:t>，</w:t>
      </w:r>
      <w:r>
        <w:rPr>
          <w:rFonts w:hint="eastAsia"/>
        </w:rPr>
        <w:t>水库</w:t>
      </w:r>
      <w:r>
        <w:t>日常运行管理</w:t>
      </w:r>
      <w:r>
        <w:rPr>
          <w:rFonts w:hint="eastAsia"/>
        </w:rPr>
        <w:t>、巡查由镇政府指派水库所在村委的干部负责</w:t>
      </w:r>
      <w:r>
        <w:t>。</w:t>
      </w:r>
      <w:r>
        <w:rPr>
          <w:rFonts w:hint="eastAsia"/>
        </w:rPr>
        <w:t>因本次水库除险加固未改变水库现有规模，故</w:t>
      </w:r>
      <w:r>
        <w:rPr>
          <w:color w:val="000000"/>
        </w:rPr>
        <w:t>不新设管理机构，不新增岗位人员</w:t>
      </w:r>
      <w:r>
        <w:rPr>
          <w:rFonts w:hint="eastAsia"/>
          <w:color w:val="000000"/>
        </w:rPr>
        <w:t>。管养房沿用现有管养房，现有管养房装修维护后继续使用。</w:t>
      </w:r>
    </w:p>
    <w:p>
      <w:pPr>
        <w:keepNext w:val="0"/>
        <w:keepLines w:val="0"/>
        <w:pageBreakBefore w:val="0"/>
        <w:widowControl w:val="0"/>
        <w:kinsoku/>
        <w:wordWrap/>
        <w:overflowPunct/>
        <w:topLinePunct w:val="0"/>
        <w:autoSpaceDE/>
        <w:autoSpaceDN/>
        <w:bidi w:val="0"/>
        <w:adjustRightInd w:val="0"/>
        <w:snapToGrid w:val="0"/>
        <w:ind w:firstLine="480"/>
        <w:textAlignment w:val="auto"/>
        <w:rPr>
          <w:color w:val="000000"/>
        </w:rPr>
      </w:pPr>
      <w:bookmarkStart w:id="15" w:name="_Hlk116671055"/>
      <w:r>
        <w:rPr>
          <w:rFonts w:hint="eastAsia"/>
          <w:color w:val="000000"/>
        </w:rPr>
        <w:t>根据工程的等别及水库的具体情况，管理人员编制按2 人，负责水库的日常维护运行。工程管理实行正规化、制度化、规范化管理，以确保工程正常运行。每年按规定收取灌溉水费作为工程运行费(工作人员的工资、福利费、办公费、防洪设施的正常维护修理费等)的主要来源，由地方镇政府统一发放。参照水利部、财政部颁布的《水利工程维修养护定额标准（试点）》，工程基本维修养护费约</w:t>
      </w:r>
      <w:r>
        <w:rPr>
          <w:color w:val="000000"/>
        </w:rPr>
        <w:t>14.52</w:t>
      </w:r>
      <w:r>
        <w:rPr>
          <w:rFonts w:hint="eastAsia"/>
          <w:color w:val="000000"/>
        </w:rPr>
        <w:t>万元/年，严格资金管理，维修养护经费要做到专款专用，严禁挪作他用。洪水等重大险情造成的工程修复及工程抢险费用、水利工程更新改造费用及其它专项费用另行申报和核定。</w:t>
      </w:r>
    </w:p>
    <w:bookmarkEnd w:id="15"/>
    <w:p>
      <w:pPr>
        <w:pStyle w:val="5"/>
        <w:topLinePunct/>
        <w:adjustRightInd/>
        <w:snapToGrid/>
        <w:spacing w:before="326" w:after="163"/>
        <w:rPr>
          <w:bCs/>
          <w:color w:val="000000"/>
          <w:szCs w:val="24"/>
        </w:rPr>
      </w:pPr>
      <w:bookmarkStart w:id="16" w:name="_Toc118453767"/>
      <w:bookmarkStart w:id="17" w:name="_Toc24681089"/>
      <w:bookmarkStart w:id="18" w:name="_Toc118798120"/>
      <w:bookmarkStart w:id="19" w:name="_Toc24679893"/>
      <w:bookmarkStart w:id="20" w:name="_Toc24680834"/>
      <w:bookmarkStart w:id="21" w:name="_Toc116672289"/>
      <w:bookmarkStart w:id="22" w:name="_Toc24680693"/>
      <w:bookmarkStart w:id="23" w:name="_Toc24680460"/>
      <w:bookmarkStart w:id="24" w:name="_Toc554130251_WPSOffice_Level1"/>
      <w:r>
        <w:rPr>
          <w:bCs/>
          <w:color w:val="000000"/>
          <w:szCs w:val="24"/>
        </w:rPr>
        <w:t>13.2 工程管理范围和保护范围</w:t>
      </w:r>
      <w:bookmarkEnd w:id="16"/>
      <w:bookmarkEnd w:id="17"/>
      <w:bookmarkEnd w:id="18"/>
      <w:bookmarkEnd w:id="19"/>
      <w:bookmarkEnd w:id="20"/>
      <w:bookmarkEnd w:id="21"/>
      <w:bookmarkEnd w:id="22"/>
      <w:bookmarkEnd w:id="23"/>
      <w:bookmarkEnd w:id="24"/>
    </w:p>
    <w:p>
      <w:pPr>
        <w:ind w:firstLine="480"/>
        <w:rPr>
          <w:color w:val="000000"/>
        </w:rPr>
      </w:pPr>
      <w:r>
        <w:rPr>
          <w:rFonts w:hint="eastAsia"/>
          <w:color w:val="000000"/>
        </w:rPr>
        <w:t>为确保工程管理界限分明，便于管理，根据工程管理和安全的需要，确定本工程的管理范围和保护范围如下：</w:t>
      </w:r>
    </w:p>
    <w:p>
      <w:pPr>
        <w:ind w:firstLine="480"/>
        <w:rPr>
          <w:rFonts w:hint="eastAsia"/>
          <w:color w:val="000000"/>
        </w:rPr>
      </w:pPr>
      <w:r>
        <w:rPr>
          <w:color w:val="000000"/>
        </w:rPr>
        <w:t>工程管理范围：</w:t>
      </w:r>
      <w:r>
        <w:rPr>
          <w:rFonts w:hint="eastAsia"/>
          <w:color w:val="000000"/>
        </w:rPr>
        <w:t>库区为坝顶高程线2</w:t>
      </w:r>
      <w:r>
        <w:rPr>
          <w:color w:val="000000"/>
        </w:rPr>
        <w:t>31</w:t>
      </w:r>
      <w:r>
        <w:rPr>
          <w:rFonts w:hint="eastAsia"/>
          <w:color w:val="000000"/>
        </w:rPr>
        <w:t>米以下土地和水域；坝区包括大坝、溢洪道、输水涵及电站厂房的占地范围及其周边外延1</w:t>
      </w:r>
      <w:r>
        <w:rPr>
          <w:color w:val="000000"/>
        </w:rPr>
        <w:t>0m</w:t>
      </w:r>
      <w:r>
        <w:rPr>
          <w:rFonts w:hint="eastAsia"/>
          <w:color w:val="000000"/>
        </w:rPr>
        <w:t>的范围；生产、生活区范围也属于工程管理范围。</w:t>
      </w:r>
    </w:p>
    <w:p>
      <w:pPr>
        <w:ind w:firstLine="480"/>
        <w:rPr>
          <w:rFonts w:hint="eastAsia"/>
          <w:color w:val="000000"/>
        </w:rPr>
      </w:pPr>
      <w:r>
        <w:rPr>
          <w:rFonts w:hint="eastAsia"/>
          <w:color w:val="000000"/>
        </w:rPr>
        <w:t>工程保护范围：根据《水库工程管理设计规范》S</w:t>
      </w:r>
      <w:r>
        <w:rPr>
          <w:color w:val="000000"/>
        </w:rPr>
        <w:t>L106-2017</w:t>
      </w:r>
      <w:r>
        <w:rPr>
          <w:rFonts w:hint="eastAsia"/>
          <w:color w:val="000000"/>
        </w:rPr>
        <w:t>第3</w:t>
      </w:r>
      <w:r>
        <w:rPr>
          <w:color w:val="000000"/>
        </w:rPr>
        <w:t>.0.4</w:t>
      </w:r>
      <w:r>
        <w:rPr>
          <w:rFonts w:hint="eastAsia"/>
          <w:color w:val="000000"/>
        </w:rPr>
        <w:t>条，在工程管理范围边界线外延5</w:t>
      </w:r>
      <w:r>
        <w:rPr>
          <w:color w:val="000000"/>
        </w:rPr>
        <w:t>0m</w:t>
      </w:r>
      <w:r>
        <w:rPr>
          <w:rFonts w:hint="eastAsia"/>
          <w:color w:val="000000"/>
        </w:rPr>
        <w:t>，工程保护范围内的土地不征用。</w:t>
      </w:r>
    </w:p>
    <w:p>
      <w:pPr>
        <w:ind w:firstLine="480"/>
        <w:rPr>
          <w:color w:val="000000"/>
        </w:rPr>
      </w:pPr>
      <w:r>
        <w:rPr>
          <w:rFonts w:hint="eastAsia"/>
          <w:color w:val="000000"/>
        </w:rPr>
        <w:t>水库</w:t>
      </w:r>
      <w:r>
        <w:rPr>
          <w:color w:val="000000"/>
        </w:rPr>
        <w:t>保护范围：</w:t>
      </w:r>
      <w:r>
        <w:rPr>
          <w:rFonts w:hint="eastAsia"/>
          <w:color w:val="000000"/>
        </w:rPr>
        <w:t>根据《水库工程管理设计规范》S</w:t>
      </w:r>
      <w:r>
        <w:rPr>
          <w:color w:val="000000"/>
        </w:rPr>
        <w:t>L106-2017</w:t>
      </w:r>
      <w:r>
        <w:rPr>
          <w:rFonts w:hint="eastAsia"/>
          <w:color w:val="000000"/>
        </w:rPr>
        <w:t>第3</w:t>
      </w:r>
      <w:r>
        <w:rPr>
          <w:color w:val="000000"/>
        </w:rPr>
        <w:t>.0.4</w:t>
      </w:r>
      <w:r>
        <w:rPr>
          <w:rFonts w:hint="eastAsia"/>
          <w:color w:val="000000"/>
        </w:rPr>
        <w:t>条，由坝址以上，库区两岸管理范围线以上至第一道分水岭脊线之间的土地</w:t>
      </w:r>
      <w:r>
        <w:rPr>
          <w:color w:val="000000"/>
        </w:rPr>
        <w:t>。</w:t>
      </w:r>
    </w:p>
    <w:p>
      <w:pPr>
        <w:ind w:firstLine="480"/>
        <w:rPr>
          <w:rFonts w:hint="eastAsia"/>
          <w:color w:val="000000"/>
        </w:rPr>
      </w:pPr>
      <w:r>
        <w:rPr>
          <w:rFonts w:hint="eastAsia"/>
          <w:color w:val="000000"/>
        </w:rPr>
        <w:t>洋坑水库目前已完成管理范围的立桩、划界。</w:t>
      </w:r>
    </w:p>
    <w:p>
      <w:pPr>
        <w:pStyle w:val="5"/>
        <w:tabs>
          <w:tab w:val="left" w:pos="3210"/>
        </w:tabs>
        <w:topLinePunct/>
        <w:adjustRightInd/>
        <w:snapToGrid/>
        <w:spacing w:before="326" w:after="163"/>
        <w:rPr>
          <w:bCs/>
          <w:color w:val="000000"/>
          <w:szCs w:val="24"/>
        </w:rPr>
      </w:pPr>
      <w:bookmarkStart w:id="25" w:name="_Toc116672290"/>
      <w:bookmarkStart w:id="26" w:name="_Toc105022124_WPSOffice_Level1"/>
      <w:r>
        <w:rPr>
          <w:bCs/>
          <w:color w:val="000000"/>
          <w:szCs w:val="24"/>
        </w:rPr>
        <w:t>13.3 工程管理</w:t>
      </w:r>
      <w:r>
        <w:rPr>
          <w:rFonts w:hint="eastAsia"/>
          <w:bCs/>
          <w:color w:val="000000"/>
          <w:szCs w:val="24"/>
        </w:rPr>
        <w:t>制度</w:t>
      </w:r>
      <w:bookmarkEnd w:id="25"/>
      <w:bookmarkEnd w:id="26"/>
      <w:r>
        <w:rPr>
          <w:bCs/>
          <w:color w:val="000000"/>
          <w:szCs w:val="24"/>
        </w:rPr>
        <w:tab/>
      </w:r>
    </w:p>
    <w:p>
      <w:pPr>
        <w:pStyle w:val="6"/>
        <w:adjustRightInd/>
        <w:snapToGrid/>
        <w:spacing w:before="260" w:beforeLines="80" w:after="97" w:line="520" w:lineRule="atLeast"/>
        <w:jc w:val="left"/>
        <w:rPr>
          <w:color w:val="000000"/>
          <w:szCs w:val="28"/>
        </w:rPr>
      </w:pPr>
      <w:r>
        <w:rPr>
          <w:rFonts w:hint="eastAsia"/>
          <w:color w:val="000000"/>
          <w:szCs w:val="28"/>
        </w:rPr>
        <w:t>1</w:t>
      </w:r>
      <w:r>
        <w:rPr>
          <w:color w:val="000000"/>
          <w:szCs w:val="28"/>
        </w:rPr>
        <w:t xml:space="preserve">3.3.1 </w:t>
      </w:r>
      <w:r>
        <w:rPr>
          <w:rFonts w:hint="eastAsia"/>
          <w:color w:val="000000"/>
          <w:szCs w:val="28"/>
        </w:rPr>
        <w:t>工程管理任务</w:t>
      </w:r>
    </w:p>
    <w:p>
      <w:pPr>
        <w:ind w:firstLine="480"/>
      </w:pPr>
      <w:r>
        <w:rPr>
          <w:rFonts w:hint="eastAsia"/>
        </w:rPr>
        <w:t>（1）日常管理</w:t>
      </w:r>
    </w:p>
    <w:p>
      <w:pPr>
        <w:ind w:firstLine="480"/>
        <w:rPr>
          <w:rFonts w:hint="eastAsia"/>
        </w:rPr>
      </w:pPr>
      <w:r>
        <w:rPr>
          <w:rFonts w:hint="eastAsia"/>
        </w:rPr>
        <w:t>在正常情况下，掌握工程状态，维护和改善工程设施，促使工程设施安全完好和正常运转，按规定备足防汛材料，并收取水费。在非常情况下，保证通讯和道路畅通，及时掌握雨情和水情，巡查工程设施，发现问题及时向有关领导汇报并采取有效措施，防止事故发生。</w:t>
      </w:r>
    </w:p>
    <w:p>
      <w:pPr>
        <w:ind w:firstLine="480"/>
        <w:rPr>
          <w:rFonts w:hint="eastAsia"/>
        </w:rPr>
      </w:pPr>
      <w:r>
        <w:rPr>
          <w:rFonts w:hint="eastAsia"/>
        </w:rPr>
        <w:t>（2）水库调度运用原则</w:t>
      </w:r>
    </w:p>
    <w:p>
      <w:pPr>
        <w:ind w:firstLine="480"/>
        <w:rPr>
          <w:rFonts w:hint="eastAsia"/>
        </w:rPr>
      </w:pPr>
      <w:r>
        <w:rPr>
          <w:rFonts w:hint="eastAsia"/>
        </w:rPr>
        <w:t>洋坑水库的工程任务为蓄水灌溉为主，并兼有防洪、发电任务，因此，根据来水和需水，合理调配水库水量，节约用水，发挥最大的经济和社会效益。</w:t>
      </w:r>
    </w:p>
    <w:p>
      <w:pPr>
        <w:ind w:firstLine="480"/>
        <w:rPr>
          <w:rFonts w:hint="eastAsia"/>
        </w:rPr>
      </w:pPr>
      <w:r>
        <w:rPr>
          <w:rFonts w:hint="eastAsia"/>
        </w:rPr>
        <w:t>（3）洪水调度</w:t>
      </w:r>
    </w:p>
    <w:p>
      <w:pPr>
        <w:ind w:firstLine="480"/>
      </w:pPr>
      <w:r>
        <w:t>洋坑水库是一宗以灌溉为主，结合防洪、发电</w:t>
      </w:r>
      <w:r>
        <w:rPr>
          <w:rFonts w:hint="eastAsia"/>
        </w:rPr>
        <w:t>等综合利用的小（一）型水库。水库的运用在丰顺县水务局指导下进行，不考虑洪水预报和预腾防洪库容，当水库水位高于正常蓄水位</w:t>
      </w:r>
      <w:r>
        <w:t xml:space="preserve">223.8m </w:t>
      </w:r>
      <w:r>
        <w:rPr>
          <w:rFonts w:hint="eastAsia"/>
        </w:rPr>
        <w:t>时，采用敞泄方式，由溢洪道自由泄洪。非汛期按正常蓄水位</w:t>
      </w:r>
      <w:r>
        <w:t>223.8m</w:t>
      </w:r>
      <w:r>
        <w:rPr>
          <w:rFonts w:hint="eastAsia"/>
        </w:rPr>
        <w:t>蓄水，已满足下游灌溉水量的要求。大坝运行执行《建桥镇洋坑水库大坝安全管理应急预案（修订）》、《建桥镇洋坑水库调度运用方案》，有紧急情况时由建桥镇农业服务中心派人前往水库现场进行管理工作。</w:t>
      </w:r>
    </w:p>
    <w:p>
      <w:pPr>
        <w:pStyle w:val="6"/>
        <w:adjustRightInd/>
        <w:snapToGrid/>
        <w:spacing w:before="260" w:beforeLines="80" w:after="97" w:line="520" w:lineRule="atLeast"/>
        <w:jc w:val="left"/>
        <w:rPr>
          <w:color w:val="000000"/>
          <w:szCs w:val="28"/>
        </w:rPr>
      </w:pPr>
      <w:r>
        <w:rPr>
          <w:rFonts w:hint="eastAsia"/>
          <w:color w:val="000000"/>
          <w:szCs w:val="28"/>
        </w:rPr>
        <w:t>1</w:t>
      </w:r>
      <w:r>
        <w:rPr>
          <w:color w:val="000000"/>
          <w:szCs w:val="28"/>
        </w:rPr>
        <w:t xml:space="preserve">3.3.2 </w:t>
      </w:r>
      <w:r>
        <w:rPr>
          <w:rFonts w:hint="eastAsia"/>
          <w:color w:val="000000"/>
          <w:szCs w:val="28"/>
        </w:rPr>
        <w:t>工程管理制度</w:t>
      </w:r>
    </w:p>
    <w:p>
      <w:pPr>
        <w:ind w:firstLine="480"/>
        <w:rPr>
          <w:rFonts w:hint="eastAsia"/>
        </w:rPr>
      </w:pPr>
      <w:r>
        <w:rPr>
          <w:rFonts w:hint="eastAsia"/>
        </w:rPr>
        <w:t>（1）建筑物维护和检修</w:t>
      </w:r>
    </w:p>
    <w:p>
      <w:pPr>
        <w:ind w:firstLine="480"/>
        <w:rPr>
          <w:rFonts w:hint="eastAsia"/>
        </w:rPr>
      </w:pPr>
      <w:r>
        <w:rPr>
          <w:rFonts w:hint="eastAsia"/>
        </w:rPr>
        <w:t>工程主要建筑物有大坝、溢洪道、输水涵管等，对各类建筑物的维护应以“经常养护、随时维修，养重于修、修重于抢”为原则进行养护和检修，以保护工程和设备的完好。</w:t>
      </w:r>
    </w:p>
    <w:p>
      <w:pPr>
        <w:ind w:firstLine="480"/>
        <w:rPr>
          <w:rFonts w:hint="eastAsia"/>
        </w:rPr>
      </w:pPr>
      <w:r>
        <w:rPr>
          <w:rFonts w:hint="eastAsia"/>
        </w:rPr>
        <w:t>1）大坝。对可能出现的坝体上、下游坝面、坝顶的裂缝，应查明其具体位置、裂缝的伸延特性及深度，做好记录并分析原因，及时采取处理措施。如为贯通性裂缝或进行性裂缝时，应及时向主管单位书面报告。</w:t>
      </w:r>
    </w:p>
    <w:p>
      <w:pPr>
        <w:ind w:firstLine="480"/>
        <w:rPr>
          <w:rFonts w:hint="eastAsia"/>
        </w:rPr>
      </w:pPr>
      <w:r>
        <w:rPr>
          <w:rFonts w:hint="eastAsia"/>
        </w:rPr>
        <w:t>2）溢洪道。溢洪道进口、泄槽以及消能设施应保持整洁。两侧如有松动土石方应采取清除、削坡和其他加固措施。消能设施如有破坏应及时抢修。对于裂缝，应采取填塞或加固措施。</w:t>
      </w:r>
    </w:p>
    <w:p>
      <w:pPr>
        <w:ind w:firstLine="480"/>
      </w:pPr>
      <w:r>
        <w:rPr>
          <w:rFonts w:hint="eastAsia"/>
        </w:rPr>
        <w:t>3）放水设备。输水涵放水闸门拉杆、及启闭设备应定期清理、除锈、加润滑油养护，拉杆支承必须稳固，遇有因撞击、震动、结构变形等造成的损坏，应及时修补加固，损坏部件必须及时更换；放水涵管无锈蚀、渗漏。</w:t>
      </w:r>
    </w:p>
    <w:p>
      <w:pPr>
        <w:ind w:firstLine="480"/>
        <w:rPr>
          <w:rFonts w:hint="eastAsia"/>
        </w:rPr>
      </w:pPr>
      <w:r>
        <w:rPr>
          <w:rFonts w:hint="eastAsia"/>
        </w:rPr>
        <w:t>（2）维护工程安全运用和充分发挥工程效益的措施</w:t>
      </w:r>
    </w:p>
    <w:p>
      <w:pPr>
        <w:ind w:firstLine="480"/>
        <w:rPr>
          <w:rFonts w:hint="eastAsia"/>
        </w:rPr>
      </w:pPr>
      <w:r>
        <w:rPr>
          <w:rFonts w:hint="eastAsia"/>
        </w:rPr>
        <w:t>1）认真贯彻执行有关工程管理通则和上级部门的指示。</w:t>
      </w:r>
    </w:p>
    <w:p>
      <w:pPr>
        <w:ind w:firstLine="480"/>
        <w:rPr>
          <w:rFonts w:hint="eastAsia"/>
        </w:rPr>
      </w:pPr>
      <w:r>
        <w:rPr>
          <w:rFonts w:hint="eastAsia"/>
        </w:rPr>
        <w:t>2）建立健全岗位责任制，制定奖惩制度。</w:t>
      </w:r>
    </w:p>
    <w:p>
      <w:pPr>
        <w:ind w:firstLine="480"/>
        <w:rPr>
          <w:rFonts w:hint="eastAsia"/>
        </w:rPr>
      </w:pPr>
      <w:r>
        <w:rPr>
          <w:rFonts w:hint="eastAsia"/>
        </w:rPr>
        <w:t>3）熟悉工程的规划、设计、施工和管理运用的要求，及时掌握工程的运用动态。</w:t>
      </w:r>
    </w:p>
    <w:p>
      <w:pPr>
        <w:ind w:firstLine="480"/>
      </w:pPr>
      <w:r>
        <w:t>4</w:t>
      </w:r>
      <w:r>
        <w:rPr>
          <w:rFonts w:hint="eastAsia"/>
        </w:rPr>
        <w:t>）对工程认真检查观测，及时分析研究，随时将工程动态报告上级部门，及时进行养护修理，消除工程缺陷、维护工程完整，确保工程安全。</w:t>
      </w:r>
    </w:p>
    <w:p>
      <w:pPr>
        <w:ind w:firstLine="480"/>
      </w:pPr>
      <w:r>
        <w:t>5</w:t>
      </w:r>
      <w:r>
        <w:rPr>
          <w:rFonts w:hint="eastAsia"/>
        </w:rPr>
        <w:t>）及时掌握水情、雨情及水文预报，做好工程的调度运用和工程防汛工作。</w:t>
      </w:r>
    </w:p>
    <w:p>
      <w:pPr>
        <w:ind w:firstLine="480"/>
        <w:rPr>
          <w:rFonts w:hint="eastAsia"/>
        </w:rPr>
      </w:pPr>
      <w:r>
        <w:t>6</w:t>
      </w:r>
      <w:r>
        <w:rPr>
          <w:rFonts w:hint="eastAsia"/>
        </w:rPr>
        <w:t>）因地制宜，利用坝后电站、库周及库区的水土资源，开展综合经营。</w:t>
      </w:r>
    </w:p>
    <w:p>
      <w:pPr>
        <w:pStyle w:val="5"/>
        <w:tabs>
          <w:tab w:val="left" w:pos="3210"/>
        </w:tabs>
        <w:topLinePunct/>
        <w:adjustRightInd/>
        <w:snapToGrid/>
        <w:spacing w:before="326" w:after="163"/>
        <w:rPr>
          <w:bCs/>
          <w:color w:val="000000"/>
          <w:szCs w:val="24"/>
        </w:rPr>
      </w:pPr>
      <w:bookmarkStart w:id="27" w:name="_bookmark76"/>
      <w:bookmarkEnd w:id="27"/>
      <w:bookmarkStart w:id="28" w:name="_bookmark75"/>
      <w:bookmarkEnd w:id="28"/>
      <w:bookmarkStart w:id="29" w:name="_bookmark81"/>
      <w:bookmarkEnd w:id="29"/>
      <w:bookmarkStart w:id="30" w:name="_bookmark86"/>
      <w:bookmarkEnd w:id="30"/>
      <w:bookmarkStart w:id="31" w:name="_bookmark85"/>
      <w:bookmarkEnd w:id="31"/>
      <w:bookmarkStart w:id="32" w:name="_bookmark80"/>
      <w:bookmarkEnd w:id="32"/>
      <w:bookmarkStart w:id="33" w:name="_bookmark78"/>
      <w:bookmarkEnd w:id="33"/>
      <w:bookmarkStart w:id="34" w:name="_bookmark82"/>
      <w:bookmarkEnd w:id="34"/>
      <w:bookmarkStart w:id="35" w:name="_bookmark84"/>
      <w:bookmarkEnd w:id="35"/>
      <w:bookmarkStart w:id="36" w:name="_bookmark83"/>
      <w:bookmarkEnd w:id="36"/>
      <w:bookmarkStart w:id="37" w:name="_bookmark79"/>
      <w:bookmarkEnd w:id="37"/>
      <w:bookmarkStart w:id="38" w:name="_bookmark77"/>
      <w:bookmarkEnd w:id="38"/>
      <w:bookmarkStart w:id="39" w:name="_bookmark73"/>
      <w:bookmarkEnd w:id="39"/>
      <w:bookmarkStart w:id="40" w:name="_bookmark74"/>
      <w:bookmarkEnd w:id="40"/>
      <w:bookmarkStart w:id="41" w:name="_Toc116672291"/>
      <w:bookmarkStart w:id="42" w:name="_Toc927221049_WPSOffice_Level1"/>
      <w:bookmarkStart w:id="43" w:name="_Hlk67653537"/>
      <w:r>
        <w:rPr>
          <w:bCs/>
          <w:color w:val="000000"/>
          <w:szCs w:val="24"/>
        </w:rPr>
        <w:t>13.4管理设施</w:t>
      </w:r>
      <w:r>
        <w:rPr>
          <w:rFonts w:hint="eastAsia"/>
          <w:bCs/>
          <w:color w:val="000000"/>
          <w:szCs w:val="24"/>
        </w:rPr>
        <w:t>与设备</w:t>
      </w:r>
      <w:bookmarkEnd w:id="41"/>
      <w:bookmarkEnd w:id="42"/>
    </w:p>
    <w:bookmarkEnd w:id="43"/>
    <w:p>
      <w:pPr>
        <w:ind w:firstLine="480"/>
      </w:pPr>
      <w:r>
        <w:rPr>
          <w:rFonts w:hint="eastAsia"/>
        </w:rPr>
        <w:t>根据《广东省水利厅关于落实病险水库除险加固工作中几项重要内容的通知》（粤水运管函〔2021〕1318 号）的要求，为汲取近期国内水库失事教训， 应对极端异常天气和超标准洪水，科学实施病险水库除险加固，确保水库安全运行底线，按照水利部相关要求，病险水库除险加固工作中要秉持“建管并重”的理念，切实提高除险加固前期工作质量，初步设计方案要同步落实各项水库建后管护设施建设。防汛道路、管理用房、雨水情测报设施、安全监测设施、标识标牌、界桩、防汛物资等管护设施应同期实施，同步验收。按照广东省小型水库安全运行管理标准化工作指引（试行）有关规定执行。</w:t>
      </w:r>
    </w:p>
    <w:p>
      <w:pPr>
        <w:ind w:firstLine="480"/>
      </w:pPr>
      <w:r>
        <w:rPr>
          <w:rFonts w:hint="eastAsia"/>
        </w:rPr>
        <w:t>（1）管理房</w:t>
      </w:r>
    </w:p>
    <w:p>
      <w:pPr>
        <w:ind w:firstLine="480"/>
        <w:rPr>
          <w:color w:val="000000"/>
          <w:kern w:val="0"/>
          <w:lang w:bidi="ar"/>
        </w:rPr>
      </w:pPr>
      <w:r>
        <w:rPr>
          <w:rFonts w:hint="eastAsia"/>
        </w:rPr>
        <w:t>现有</w:t>
      </w:r>
      <w:r>
        <w:rPr>
          <w:szCs w:val="28"/>
        </w:rPr>
        <w:t>管养房</w:t>
      </w:r>
      <w:r>
        <w:rPr>
          <w:rFonts w:hint="eastAsia"/>
          <w:szCs w:val="28"/>
        </w:rPr>
        <w:t>位于大坝右岸坝肩，面积120</w:t>
      </w:r>
      <w:r>
        <w:rPr>
          <w:szCs w:val="28"/>
        </w:rPr>
        <w:t>m</w:t>
      </w:r>
      <w:r>
        <w:rPr>
          <w:szCs w:val="28"/>
          <w:vertAlign w:val="superscript"/>
        </w:rPr>
        <w:t>2</w:t>
      </w:r>
      <w:r>
        <w:rPr>
          <w:rFonts w:hint="eastAsia"/>
          <w:szCs w:val="28"/>
        </w:rPr>
        <w:t>，为2</w:t>
      </w:r>
      <w:r>
        <w:rPr>
          <w:szCs w:val="28"/>
        </w:rPr>
        <w:t>010</w:t>
      </w:r>
      <w:r>
        <w:rPr>
          <w:rFonts w:hint="eastAsia"/>
          <w:szCs w:val="28"/>
        </w:rPr>
        <w:t>年除险加固时重建，为完善其实用功能，本次对管养房进行装修，</w:t>
      </w:r>
      <w:r>
        <w:rPr>
          <w:rFonts w:hint="eastAsia"/>
          <w:color w:val="000000"/>
          <w:kern w:val="0"/>
          <w:lang w:bidi="ar"/>
        </w:rPr>
        <w:t>并添置必要的办公设施和生活设施及防汛、抢险交通工具；硬化管理房前小路。</w:t>
      </w:r>
    </w:p>
    <w:p>
      <w:pPr>
        <w:ind w:firstLine="480"/>
        <w:rPr>
          <w:color w:val="000000"/>
          <w:kern w:val="0"/>
          <w:lang w:bidi="ar"/>
        </w:rPr>
      </w:pPr>
      <w:r>
        <w:rPr>
          <w:rFonts w:hint="eastAsia"/>
          <w:color w:val="000000"/>
          <w:kern w:val="0"/>
          <w:lang w:bidi="ar"/>
        </w:rPr>
        <w:t>（2）对外交通</w:t>
      </w:r>
    </w:p>
    <w:p>
      <w:pPr>
        <w:ind w:firstLine="480"/>
        <w:rPr>
          <w:color w:val="000000"/>
          <w:kern w:val="0"/>
          <w:lang w:bidi="ar"/>
        </w:rPr>
      </w:pPr>
      <w:r>
        <w:t>防汛道路</w:t>
      </w:r>
      <w:r>
        <w:rPr>
          <w:rFonts w:hint="eastAsia"/>
        </w:rPr>
        <w:t>目前能通至坝顶。由于现状进村公路在溢洪道进口处，在泄洪时会截断交通，有安全隐患，本次除险加固需</w:t>
      </w:r>
      <w:r>
        <w:rPr>
          <w:rFonts w:hint="eastAsia"/>
          <w:color w:val="000000"/>
          <w:kern w:val="0"/>
          <w:lang w:bidi="ar"/>
        </w:rPr>
        <w:t>新建进村公路，宽3.5m，长约311m；道路内侧设排水沟。</w:t>
      </w:r>
    </w:p>
    <w:p>
      <w:pPr>
        <w:ind w:firstLine="480"/>
        <w:rPr>
          <w:color w:val="000000"/>
          <w:kern w:val="0"/>
          <w:lang w:bidi="ar"/>
        </w:rPr>
      </w:pPr>
      <w:r>
        <w:rPr>
          <w:rFonts w:hint="eastAsia"/>
          <w:color w:val="000000"/>
          <w:kern w:val="0"/>
          <w:lang w:bidi="ar"/>
        </w:rPr>
        <w:t>（3）通讯手段</w:t>
      </w:r>
    </w:p>
    <w:p>
      <w:pPr>
        <w:ind w:firstLine="480"/>
        <w:rPr>
          <w:rFonts w:hint="eastAsia"/>
          <w:color w:val="000000"/>
          <w:kern w:val="0"/>
          <w:lang w:bidi="ar"/>
        </w:rPr>
      </w:pPr>
      <w:r>
        <w:rPr>
          <w:rFonts w:hint="eastAsia"/>
          <w:color w:val="000000"/>
          <w:kern w:val="0"/>
          <w:lang w:bidi="ar"/>
        </w:rPr>
        <w:t>洋坑水库为小（</w:t>
      </w:r>
      <w:r>
        <w:rPr>
          <w:color w:val="000000"/>
          <w:kern w:val="0"/>
          <w:lang w:bidi="ar"/>
        </w:rPr>
        <w:t>1</w:t>
      </w:r>
      <w:r>
        <w:rPr>
          <w:rFonts w:hint="eastAsia"/>
          <w:color w:val="000000"/>
          <w:kern w:val="0"/>
          <w:lang w:bidi="ar"/>
        </w:rPr>
        <w:t>）型水库，坝高</w:t>
      </w:r>
      <w:r>
        <w:rPr>
          <w:color w:val="000000"/>
          <w:kern w:val="0"/>
          <w:lang w:bidi="ar"/>
        </w:rPr>
        <w:t>33.5m</w:t>
      </w:r>
      <w:r>
        <w:rPr>
          <w:rFonts w:hint="eastAsia"/>
          <w:color w:val="000000"/>
          <w:kern w:val="0"/>
          <w:lang w:bidi="ar"/>
        </w:rPr>
        <w:t>，根据有关要求，坝高超过</w:t>
      </w:r>
      <w:r>
        <w:rPr>
          <w:color w:val="000000"/>
          <w:kern w:val="0"/>
          <w:lang w:bidi="ar"/>
        </w:rPr>
        <w:t>15m</w:t>
      </w:r>
      <w:r>
        <w:rPr>
          <w:rFonts w:hint="eastAsia"/>
          <w:color w:val="000000"/>
          <w:kern w:val="0"/>
          <w:lang w:bidi="ar"/>
        </w:rPr>
        <w:t>应具备两种以上有效通讯手段，水库现状通讯手段有移动电话和网络通讯等方式。对外通讯应与水库主管部门、防汛指挥机构等相关部门保持顺畅联接。</w:t>
      </w:r>
    </w:p>
    <w:p>
      <w:pPr>
        <w:ind w:firstLine="480"/>
      </w:pPr>
      <w:r>
        <w:rPr>
          <w:rFonts w:hint="eastAsia"/>
        </w:rPr>
        <w:t>（</w:t>
      </w:r>
      <w:r>
        <w:t>4</w:t>
      </w:r>
      <w:r>
        <w:rPr>
          <w:rFonts w:hint="eastAsia"/>
        </w:rPr>
        <w:t>）完善观测设施、设备</w:t>
      </w:r>
    </w:p>
    <w:p>
      <w:pPr>
        <w:ind w:firstLine="480"/>
      </w:pPr>
      <w:r>
        <w:t>水库</w:t>
      </w:r>
      <w:r>
        <w:rPr>
          <w:rFonts w:hint="eastAsia"/>
        </w:rPr>
        <w:t>目前</w:t>
      </w:r>
      <w:r>
        <w:t>无沉降、位移观测设施、渗流监测设施。水位尺</w:t>
      </w:r>
      <w:r>
        <w:rPr>
          <w:rFonts w:hint="eastAsia"/>
        </w:rPr>
        <w:t>的</w:t>
      </w:r>
      <w:r>
        <w:t>刻度数字已脱落，无法读数。</w:t>
      </w:r>
      <w:r>
        <w:rPr>
          <w:rFonts w:hint="eastAsia"/>
        </w:rPr>
        <w:t>根据《小型水利水电工程碾压式土石坝设计规范》（SL189-2013）的要求设置必要的水雨情预警预报、安全监测及巡视检查等设备设施。结合本工程具体情况，配备以下观测设施、设备等项目。</w:t>
      </w:r>
    </w:p>
    <w:p>
      <w:pPr>
        <w:ind w:firstLine="480"/>
        <w:rPr>
          <w:rFonts w:hint="eastAsia"/>
        </w:rPr>
      </w:pPr>
      <w:r>
        <w:rPr>
          <w:rFonts w:hint="eastAsia"/>
        </w:rPr>
        <w:t>1）库水位、降雨量、坝体外观（视频或图像）“三要素”</w:t>
      </w:r>
    </w:p>
    <w:p>
      <w:pPr>
        <w:ind w:firstLine="480"/>
        <w:rPr>
          <w:rFonts w:hint="eastAsia"/>
        </w:rPr>
      </w:pPr>
      <w:r>
        <w:rPr>
          <w:rFonts w:hint="eastAsia"/>
        </w:rPr>
        <w:t>根据上级主管部门的要求，库水位、降雨量、坝体外观（视频或图像）“三要素”可集中于“一杆式装置”，一般安装在坝顶靠上游侧，实现数据实时感知、自动传输。“一杆式装置”包含雷达水位计、自动雨量计、图像摄像头、视频摄像头、太阳能电池板、遥测终端机、避雷针、D110镀锌钢管等。</w:t>
      </w:r>
    </w:p>
    <w:p>
      <w:pPr>
        <w:ind w:firstLine="480"/>
      </w:pPr>
      <w:r>
        <w:rPr>
          <w:rFonts w:hint="eastAsia"/>
        </w:rPr>
        <w:t>此外，为防止“一杆式装置”故障，水库还设置水尺，水库大坝原设计有水尺，但刻度模糊、脱落，本次除险加固拟更换新水尺。水尺采用立柱式结构，立柱直径为110mm厚度为3mm钢管，长度为150cm。开挖深为50cm，直径为20cm的圆坑，用来安装水尺桩。在每根水尺桩底部做好尺寸为25cm×25cm×10cm的基座。</w:t>
      </w:r>
    </w:p>
    <w:p>
      <w:pPr>
        <w:ind w:firstLine="480"/>
        <w:rPr>
          <w:rFonts w:hint="eastAsia"/>
        </w:rPr>
      </w:pPr>
      <w:r>
        <w:rPr>
          <w:rFonts w:hint="eastAsia"/>
        </w:rPr>
        <w:t>溢洪道入口水尺也存在模糊、脱落情况，本次除险加固也一并更换新水尺。采用尺寸为50mm×50mm×5mm的热镀锌角铁作为水尺的固定杆，将红蓝两种颜色水尺按交替按顺序用自攻螺丝固定到热镀锌角铁上，在每根水尺的0刻度上焊有长为30cm将热镀锌偏铁，并用红漆喷上颜色。</w:t>
      </w:r>
    </w:p>
    <w:p>
      <w:pPr>
        <w:ind w:firstLine="480"/>
      </w:pPr>
      <w:r>
        <w:t>2</w:t>
      </w:r>
      <w:r>
        <w:rPr>
          <w:rFonts w:hint="eastAsia"/>
        </w:rPr>
        <w:t>）渗流压力</w:t>
      </w:r>
    </w:p>
    <w:p>
      <w:pPr>
        <w:ind w:firstLine="480"/>
      </w:pPr>
      <w:r>
        <w:rPr>
          <w:rFonts w:hint="eastAsia"/>
        </w:rPr>
        <w:t>在大坝最大断面处布置1个断面、共3处测压管，布置于坝后坡的上、中、下坝坡部位，以监测渗流压力。测压井采用机钻开孔，直径1</w:t>
      </w:r>
      <w:r>
        <w:t>10mm</w:t>
      </w:r>
      <w:r>
        <w:rPr>
          <w:rFonts w:hint="eastAsia"/>
        </w:rPr>
        <w:t>，下套管固壁；反滤料采用干净碎石砂，粒径5~8mm；配</w:t>
      </w:r>
      <w:r>
        <w:t>3</w:t>
      </w:r>
      <w:r>
        <w:rPr>
          <w:rFonts w:hint="eastAsia"/>
        </w:rPr>
        <w:t>个压力水位计。测压管的进水管采用DN50镀锌钢管，进水孔φ6mm，呈梅花型布置，水平方向沿管壁周长均匀布成4排；竖向孔距为100mm，每节钢管两端加工外丝扣；导管和沉淀管：DN50镀锌钢管、外箍接头，每节钢管两端加工外丝扣连接。渗压井加井盖进行保护，管帽采用DN50带丝扣和止水垫圈，管盖采用DN50镀锌管堵头，带电缆穿线孔；测压管保护箱采用砖石砌筑，外部尺寸为50×50×30cm，厚度10cm。</w:t>
      </w:r>
    </w:p>
    <w:p>
      <w:pPr>
        <w:ind w:firstLine="480"/>
        <w:rPr>
          <w:rFonts w:hint="eastAsia"/>
        </w:rPr>
      </w:pPr>
      <w:r>
        <w:rPr>
          <w:rFonts w:hint="eastAsia"/>
        </w:rPr>
        <w:t>3）渗流量</w:t>
      </w:r>
    </w:p>
    <w:p>
      <w:pPr>
        <w:ind w:firstLine="480"/>
        <w:rPr>
          <w:rFonts w:hint="eastAsia"/>
        </w:rPr>
      </w:pPr>
      <w:r>
        <w:rPr>
          <w:rFonts w:hint="eastAsia"/>
        </w:rPr>
        <w:t>在大坝下游坡脚排水棱体后建集水沟、量水堰，将渗漏水全部集中至量水堰中进行观测。渗流量感知原则上应采用自动化监测，配流量计，可通过线缆集成于“一杆式装置”。</w:t>
      </w:r>
    </w:p>
    <w:p>
      <w:pPr>
        <w:ind w:firstLine="480"/>
      </w:pPr>
      <w:r>
        <w:rPr>
          <w:rFonts w:hint="eastAsia"/>
        </w:rPr>
        <w:t>智能感知数据均应接入小型水库动态监管预警系统和水库运行管理信息化平台。管理单位应定期对感知数据进行分析，发现异常变化时，应组织专业技术人员或委托有资质单位查明原因，及时采取有效应对措施。</w:t>
      </w:r>
    </w:p>
    <w:p>
      <w:pPr>
        <w:ind w:firstLine="480"/>
        <w:rPr>
          <w:rFonts w:hint="eastAsia"/>
        </w:rPr>
      </w:pPr>
      <w:r>
        <w:rPr>
          <w:rFonts w:hint="eastAsia"/>
        </w:rPr>
        <w:t>4）大坝表面沉降及位移</w:t>
      </w:r>
    </w:p>
    <w:p>
      <w:pPr>
        <w:ind w:firstLine="480"/>
      </w:pPr>
      <w:r>
        <w:rPr>
          <w:rFonts w:hint="eastAsia"/>
        </w:rPr>
        <w:t>在坝体表面布设位移沉降测点，测点位于最大断面、特殊地质条件等处，沿坝顶轴线约每50m设一标点，同时在大坝两岸设置工作基点以及校核基点，以对大坝表面的位移标点进行监测。施工期测点应与永久测点相结合。本次除险加固共布设位移沉降测点共</w:t>
      </w:r>
      <w:r>
        <w:t>3</w:t>
      </w:r>
      <w:r>
        <w:rPr>
          <w:rFonts w:hint="eastAsia"/>
        </w:rPr>
        <w:t xml:space="preserve"> 个，工作校核墩2个。位移观测墩基础为1m×1m×1m，墩上端为0.3m×0.3m，下端为0.4m×0.4m，高度1.2m。在上端安装强制对中盘，在基础上安装水准标点。工作校核观测墩基础为1m×1m×1m，墩上端为0.3m×0.3m，下端为0.4m×0.4m，高度1.2m。在上端安装强制对中盘，在基础上安装水准标点。建设在远离水库大坝的稳固基岩上</w:t>
      </w:r>
    </w:p>
    <w:p>
      <w:pPr>
        <w:ind w:firstLine="480"/>
      </w:pPr>
      <w:r>
        <w:rPr>
          <w:rFonts w:hint="eastAsia"/>
        </w:rPr>
        <w:t>（5）标识标牌</w:t>
      </w:r>
    </w:p>
    <w:p>
      <w:pPr>
        <w:ind w:firstLine="480"/>
      </w:pPr>
      <w:r>
        <w:rPr>
          <w:rFonts w:hint="eastAsia"/>
        </w:rPr>
        <w:t>根据标准化管理的要求，结合工程规模、结构型式、工程环境及管理需要，在水库管理区域内设置必要的标识标牌，包含公告类、警示类、指引类、制度类。各类标识标牌设置要求见表4。</w:t>
      </w:r>
    </w:p>
    <w:p>
      <w:pPr>
        <w:ind w:firstLine="480"/>
      </w:pPr>
      <w:r>
        <w:rPr>
          <w:rFonts w:hint="eastAsia"/>
        </w:rPr>
        <w:t>公告类包括工程简介标牌、责任人标牌、管理范围公示牌、界桩等5种。采用蓝底、白字，不锈钢、铝板、耐候钢板、铜板纸、仿木、花岗岩、混凝土等材质，尺寸不小于1200mm×800mm。管理范围公示牌、界桩按《广东省河湖及水利工程界桩、标示牌技术标准》要求。</w:t>
      </w:r>
    </w:p>
    <w:p>
      <w:pPr>
        <w:ind w:firstLine="480"/>
      </w:pPr>
      <w:r>
        <w:rPr>
          <w:rFonts w:hint="eastAsia"/>
        </w:rPr>
        <w:t>警示类包括深水警示牌、坠落警示牌、滑坡警示牌、警示标线、汛限水位标线等5钟。警示牌采用黄底、黑字，不锈钢、铝板、耐候钢板、铜板纸、仿木、混凝土等材质，尺寸不小于500mm×400mm。警示标线户外用黄色警示标线，线宽100mm；室内用黑黄相间警示标线，宽50mm。汛限水位标线涂红色的不锈钢条或PVC板条，宽度不小于100mm。</w:t>
      </w:r>
    </w:p>
    <w:p>
      <w:pPr>
        <w:ind w:firstLine="480"/>
      </w:pPr>
      <w:r>
        <w:rPr>
          <w:rFonts w:hint="eastAsia"/>
        </w:rPr>
        <w:t>指引类包括监测设施名称牌、巡查工作线路指引牌、巡视检查平面布置示意图3种。监测设施名称牌、巡查工作线路指引牌监测设施、测点表面或周边醒目位置。指示牌采用蓝底、白字，铜板纸、金属、仿木、塑料等材质，尺寸不小于300mm×150mm。巡视检查平面布置示意图设于工程主要建筑物附近醒目位置，标识牌采用蓝底、白字，铜板纸、金属、仿木、混凝土等材质， 尺寸不小于1200mm×800mm。</w:t>
      </w:r>
    </w:p>
    <w:p>
      <w:pPr>
        <w:ind w:firstLine="480"/>
      </w:pPr>
      <w:r>
        <w:rPr>
          <w:rFonts w:hint="eastAsia"/>
        </w:rPr>
        <w:t>制度类包括巡视检查、操作运行、岗位责任、防汛值班、档案管理5种。标识牌采用蓝底、白字，铜板纸、亚克力、PVC板等材质，尺寸不小于1200mm×600mm。</w:t>
      </w:r>
    </w:p>
    <w:p>
      <w:pPr>
        <w:ind w:firstLine="480"/>
        <w:rPr>
          <w:rFonts w:hint="eastAsia"/>
        </w:rPr>
      </w:pPr>
      <w:r>
        <w:rPr>
          <w:rFonts w:hint="eastAsia"/>
        </w:rPr>
        <w:t>标识标牌内容应准确、清晰、简洁，文字字体一般采用标准黑体（简体），行距应与标识标牌尺寸协调。标识标牌出现倾斜、破损、变形、变色、字迹不清、老化脱落等，应及时维护更换，保持标识标牌完整、可视。</w:t>
      </w:r>
    </w:p>
    <w:p>
      <w:pPr>
        <w:pStyle w:val="5"/>
        <w:tabs>
          <w:tab w:val="left" w:pos="3210"/>
        </w:tabs>
        <w:topLinePunct/>
        <w:adjustRightInd/>
        <w:snapToGrid/>
        <w:spacing w:before="326" w:after="163"/>
        <w:rPr>
          <w:rFonts w:hint="eastAsia"/>
          <w:bCs/>
          <w:color w:val="000000"/>
          <w:szCs w:val="24"/>
        </w:rPr>
      </w:pPr>
      <w:bookmarkStart w:id="44" w:name="_Toc116672292"/>
      <w:bookmarkStart w:id="45" w:name="_Toc1283018822_WPSOffice_Level1"/>
      <w:r>
        <w:rPr>
          <w:rFonts w:hint="eastAsia"/>
          <w:bCs/>
          <w:color w:val="000000"/>
          <w:szCs w:val="24"/>
        </w:rPr>
        <w:t>1</w:t>
      </w:r>
      <w:r>
        <w:rPr>
          <w:bCs/>
          <w:color w:val="000000"/>
          <w:szCs w:val="24"/>
        </w:rPr>
        <w:t>3</w:t>
      </w:r>
      <w:r>
        <w:rPr>
          <w:rFonts w:hint="eastAsia"/>
          <w:bCs/>
          <w:color w:val="000000"/>
          <w:szCs w:val="24"/>
        </w:rPr>
        <w:t>.</w:t>
      </w:r>
      <w:r>
        <w:rPr>
          <w:bCs/>
          <w:color w:val="000000"/>
          <w:szCs w:val="24"/>
        </w:rPr>
        <w:t>5</w:t>
      </w:r>
      <w:r>
        <w:rPr>
          <w:rFonts w:hint="eastAsia"/>
          <w:bCs/>
          <w:color w:val="000000"/>
          <w:szCs w:val="24"/>
        </w:rPr>
        <w:t xml:space="preserve"> 大坝白蚁防治</w:t>
      </w:r>
      <w:bookmarkEnd w:id="44"/>
      <w:bookmarkEnd w:id="45"/>
    </w:p>
    <w:p>
      <w:pPr>
        <w:ind w:firstLine="480"/>
        <w:rPr>
          <w:rFonts w:hint="eastAsia"/>
        </w:rPr>
      </w:pPr>
      <w:r>
        <w:rPr>
          <w:rFonts w:hint="eastAsia"/>
        </w:rPr>
        <w:t>土坝白蚁危害是危及大坝防洪安全的重大隐患之一，尤其在气候温湿的广东省，受土栖白蚁危害更为严重，因此白蚁防治任务十分艰巨，只有消除蚁源蚁患才能把白蚁对工程的危害控制在最低限度。</w:t>
      </w:r>
    </w:p>
    <w:p>
      <w:pPr>
        <w:ind w:firstLine="480"/>
        <w:rPr>
          <w:rFonts w:hint="eastAsia"/>
        </w:rPr>
      </w:pPr>
      <w:r>
        <w:rPr>
          <w:rFonts w:hint="eastAsia"/>
        </w:rPr>
        <w:t>白蚁防治遵循“安全环保、防治结合、综合治理、持续防控”的原则。管理单位每年要制定白蚁防治计划，管理人员负责白蚁蚁害巡查和预防，发现存在明显蚁害安全隐患时，可委托专业白蚁防治公司进行处理。</w:t>
      </w:r>
    </w:p>
    <w:p>
      <w:pPr>
        <w:ind w:firstLine="480"/>
        <w:rPr>
          <w:rFonts w:hint="eastAsia"/>
        </w:rPr>
      </w:pPr>
      <w:r>
        <w:rPr>
          <w:rFonts w:hint="eastAsia"/>
        </w:rPr>
        <w:t>白蚁蚁害检查时应对水库大坝各部位及邻近大坝的蚁源区进行全面的检查，每年至少进行2次全面检查，检查时间一般为4~6月和9月下旬~11月下旬。</w:t>
      </w:r>
    </w:p>
    <w:p>
      <w:pPr>
        <w:ind w:firstLine="480"/>
        <w:rPr>
          <w:rFonts w:hint="eastAsia"/>
        </w:rPr>
      </w:pPr>
      <w:r>
        <w:rPr>
          <w:rFonts w:hint="eastAsia"/>
        </w:rPr>
        <w:t>白蚁蚁害检查时应特别观察坝体湿坡、散浸、漏水、跌窝等现象，对白蚁活动留下的痕迹或真菌指示物等应做好记录，并设置明显标记或标志。</w:t>
      </w:r>
    </w:p>
    <w:p>
      <w:pPr>
        <w:ind w:firstLine="480"/>
        <w:rPr>
          <w:rFonts w:hint="eastAsia"/>
        </w:rPr>
      </w:pPr>
      <w:r>
        <w:rPr>
          <w:rFonts w:hint="eastAsia"/>
        </w:rPr>
        <w:t>检查结束后，应对白蚁及其他动物危害进行全面分析，初步评估危害程度及后果，有针对性地制定防治方案。</w:t>
      </w:r>
    </w:p>
    <w:p>
      <w:pPr>
        <w:ind w:firstLine="480"/>
        <w:rPr>
          <w:rFonts w:hint="eastAsia"/>
        </w:rPr>
      </w:pPr>
      <w:r>
        <w:rPr>
          <w:rFonts w:hint="eastAsia"/>
        </w:rPr>
        <w:t>管理单位应及时清除坝坡、两岸山坡及蚁源区白蚁喜食的物料，消除白蚁繁殖条件；并在白蚁分飞期（4~6月）减少坝区灯光。</w:t>
      </w:r>
    </w:p>
    <w:p>
      <w:pPr>
        <w:ind w:firstLine="480"/>
        <w:rPr>
          <w:rFonts w:hint="eastAsia"/>
        </w:rPr>
      </w:pPr>
      <w:r>
        <w:rPr>
          <w:rFonts w:hint="eastAsia"/>
        </w:rPr>
        <w:t>白蚁蚁害治理可参照《广东省水利厅关于水利工程白蚁防治的管理办法》执行。根据水利部堤坝白蚁防治技术规范要求堤坝工程扩建或除险加固时，必须对原堤坝工程内的白蚁隐患进行全面检查和彻底处理。结合洋坑水库大坝蚁害实际情况，决定采取两岸预防、坝面灭杀、坝身蚁坑回填的综合治理方案，</w:t>
      </w:r>
      <w:r>
        <w:rPr>
          <w:rFonts w:hint="eastAsia"/>
          <w:color w:val="000000"/>
          <w:kern w:val="0"/>
          <w:lang w:bidi="ar"/>
        </w:rPr>
        <w:t>白蚁防治范围包括坝顶、上下游坝坡及大坝周边50m范围山体，采用以诱杀灭蚁的土栖白蚁防治技术</w:t>
      </w:r>
      <w:r>
        <w:rPr>
          <w:rFonts w:hint="eastAsia"/>
        </w:rPr>
        <w:t>。</w:t>
      </w:r>
    </w:p>
    <w:p>
      <w:pPr>
        <w:ind w:firstLine="480"/>
      </w:pPr>
      <w:r>
        <w:rPr>
          <w:rFonts w:hint="eastAsia"/>
        </w:rPr>
        <w:t>大坝坝体内的白蚁灭杀，在坝顶、下游坝坡坝脚以上治理范围内设置引诱坑，坑内放置松柴和诱饵条，其间隔为10.0m，呈梅花型布置，让白蚁自由取食，反复取食，白蚁食带药的毒饵后，带回巢中相互传染，反复传染，直到蚁巢内白蚁慢性中毒后，全部死亡。一个月后对治理范围内的诱杀效果进行检查，并抽查开挖死巢验证灭蚁的效果，若有漏网的白蚁则进行施药衬杀，直至全部消灭干净。白蚁灭杀后详细探明较大蚁巢坑，采用挖除回填土料方法密实坝身。以消除隐患，争取早日达到无蚁害堤坝标准。</w:t>
      </w:r>
    </w:p>
    <w:p>
      <w:pPr>
        <w:pStyle w:val="5"/>
        <w:tabs>
          <w:tab w:val="left" w:pos="3210"/>
        </w:tabs>
        <w:topLinePunct/>
        <w:adjustRightInd/>
        <w:snapToGrid/>
        <w:spacing w:before="326" w:after="163"/>
        <w:rPr>
          <w:bCs/>
          <w:color w:val="000000"/>
          <w:szCs w:val="24"/>
        </w:rPr>
      </w:pPr>
      <w:bookmarkStart w:id="46" w:name="_Toc116672293"/>
      <w:bookmarkStart w:id="47" w:name="_Toc695586671_WPSOffice_Level1"/>
      <w:r>
        <w:rPr>
          <w:rFonts w:hint="eastAsia"/>
          <w:bCs/>
          <w:color w:val="000000"/>
          <w:szCs w:val="24"/>
        </w:rPr>
        <w:t>1</w:t>
      </w:r>
      <w:r>
        <w:rPr>
          <w:bCs/>
          <w:color w:val="000000"/>
          <w:szCs w:val="24"/>
        </w:rPr>
        <w:t>3.6防汛</w:t>
      </w:r>
      <w:r>
        <w:rPr>
          <w:rFonts w:hint="eastAsia"/>
          <w:bCs/>
          <w:color w:val="000000"/>
          <w:szCs w:val="24"/>
        </w:rPr>
        <w:t>备汛</w:t>
      </w:r>
      <w:bookmarkEnd w:id="46"/>
      <w:bookmarkEnd w:id="47"/>
    </w:p>
    <w:p>
      <w:pPr>
        <w:pStyle w:val="6"/>
        <w:adjustRightInd/>
        <w:snapToGrid/>
        <w:spacing w:before="260" w:beforeLines="80" w:after="97" w:line="520" w:lineRule="atLeast"/>
        <w:jc w:val="left"/>
        <w:rPr>
          <w:color w:val="000000"/>
          <w:szCs w:val="28"/>
        </w:rPr>
      </w:pPr>
      <w:r>
        <w:rPr>
          <w:rFonts w:hint="eastAsia"/>
          <w:color w:val="000000"/>
          <w:szCs w:val="28"/>
        </w:rPr>
        <w:t>1</w:t>
      </w:r>
      <w:r>
        <w:rPr>
          <w:color w:val="000000"/>
          <w:szCs w:val="28"/>
        </w:rPr>
        <w:t xml:space="preserve">3.6.1 </w:t>
      </w:r>
      <w:r>
        <w:rPr>
          <w:rFonts w:hint="eastAsia"/>
          <w:color w:val="000000"/>
          <w:szCs w:val="28"/>
        </w:rPr>
        <w:t>汛限水位</w:t>
      </w:r>
    </w:p>
    <w:p>
      <w:pPr>
        <w:ind w:firstLine="480"/>
        <w:rPr>
          <w:rFonts w:hint="eastAsia"/>
        </w:rPr>
      </w:pPr>
      <w:r>
        <w:rPr>
          <w:rFonts w:hint="eastAsia"/>
        </w:rPr>
        <w:t>小型水库应根据工程实际设置汛限水位，并逐级上报各级水利部门备案。水库主管部门或管理单位对设计洪水、工程状况等发生变化需要调整汛限水位的水库，经研究论证提出汛限水位调整意见，报有审批权限单位批准；汛限水位有调整的，应于调整后1个月内上报有管辖权的监督管理单位。洋坑水库汛限水位为</w:t>
      </w:r>
      <w:r>
        <w:t>223.8</w:t>
      </w:r>
      <w:r>
        <w:rPr>
          <w:rFonts w:hint="eastAsia"/>
        </w:rPr>
        <w:t>m。</w:t>
      </w:r>
    </w:p>
    <w:p>
      <w:pPr>
        <w:ind w:firstLine="480"/>
        <w:rPr>
          <w:rFonts w:hint="eastAsia"/>
        </w:rPr>
      </w:pPr>
      <w:r>
        <w:rPr>
          <w:rFonts w:hint="eastAsia"/>
        </w:rPr>
        <w:t>在汛期应严格控制库水位运行，科学调度，严禁擅自超汛限水位运行。</w:t>
      </w:r>
    </w:p>
    <w:p>
      <w:pPr>
        <w:ind w:firstLine="480"/>
      </w:pPr>
      <w:r>
        <w:rPr>
          <w:rFonts w:hint="eastAsia"/>
        </w:rPr>
        <w:t>小型水库应做好汛限水位标识，可采用涂红色的不锈钢条、PVC板条等材料（宽度不小于10cm），并安装在大坝迎水坡或水位桩尺对应汛限水位的位置，且应在监控设备可以识别的范围内。</w:t>
      </w:r>
    </w:p>
    <w:p>
      <w:pPr>
        <w:pStyle w:val="6"/>
        <w:adjustRightInd/>
        <w:snapToGrid/>
        <w:spacing w:before="260" w:beforeLines="80" w:after="97" w:line="520" w:lineRule="atLeast"/>
        <w:jc w:val="left"/>
        <w:rPr>
          <w:rFonts w:hint="eastAsia"/>
          <w:color w:val="000000"/>
          <w:szCs w:val="28"/>
        </w:rPr>
      </w:pPr>
      <w:r>
        <w:rPr>
          <w:rFonts w:hint="eastAsia"/>
          <w:color w:val="000000"/>
          <w:szCs w:val="28"/>
        </w:rPr>
        <w:t>1</w:t>
      </w:r>
      <w:r>
        <w:rPr>
          <w:color w:val="000000"/>
          <w:szCs w:val="28"/>
        </w:rPr>
        <w:t xml:space="preserve">3.6.2 </w:t>
      </w:r>
      <w:r>
        <w:rPr>
          <w:rFonts w:hint="eastAsia"/>
          <w:color w:val="000000"/>
          <w:szCs w:val="28"/>
        </w:rPr>
        <w:t>防汛物资</w:t>
      </w:r>
    </w:p>
    <w:p>
      <w:pPr>
        <w:spacing w:line="360" w:lineRule="auto"/>
        <w:ind w:firstLine="480"/>
        <w:rPr>
          <w:rFonts w:hint="eastAsia"/>
        </w:rPr>
      </w:pPr>
      <w:r>
        <w:rPr>
          <w:rFonts w:hint="eastAsia"/>
        </w:rPr>
        <w:t>管理单位应储备必要的防汛物资，防汛物资种类、数量应符合相关规定，根据《广东省小型水库安全运行管理标准化工作指引（试行）》（</w:t>
      </w:r>
      <w:r>
        <w:t>2019</w:t>
      </w:r>
      <w:r>
        <w:rPr>
          <w:rFonts w:hint="eastAsia"/>
        </w:rPr>
        <w:t>）附表</w:t>
      </w:r>
      <w:r>
        <w:t>6 ——</w:t>
      </w:r>
      <w:r>
        <w:rPr>
          <w:rFonts w:hint="eastAsia"/>
        </w:rPr>
        <w:t>广东省小型水库防汛物资储备表，即如表1</w:t>
      </w:r>
      <w:r>
        <w:t>3.6.1</w:t>
      </w:r>
      <w:r>
        <w:rPr>
          <w:rFonts w:hint="eastAsia"/>
        </w:rPr>
        <w:t>所示。</w:t>
      </w:r>
    </w:p>
    <w:p>
      <w:pPr>
        <w:autoSpaceDE w:val="0"/>
        <w:autoSpaceDN w:val="0"/>
        <w:snapToGrid/>
        <w:spacing w:line="240" w:lineRule="auto"/>
        <w:ind w:firstLine="0" w:firstLineChars="0"/>
        <w:jc w:val="center"/>
        <w:rPr>
          <w:rFonts w:hint="eastAsia"/>
        </w:rPr>
      </w:pPr>
      <w:bookmarkStart w:id="48" w:name="_Toc763560221_WPSOffice_Level1"/>
      <w:bookmarkStart w:id="49" w:name="_Toc1638433304_WPSOffice_Level1"/>
      <w:r>
        <w:rPr>
          <w:rFonts w:hint="eastAsia"/>
        </w:rPr>
        <w:t>表1</w:t>
      </w:r>
      <w:r>
        <w:t xml:space="preserve">3.6.1 </w:t>
      </w:r>
      <w:r>
        <w:rPr>
          <w:rFonts w:hint="eastAsia"/>
        </w:rPr>
        <w:t>小型水库防汛物资储备标准</w:t>
      </w:r>
      <w:bookmarkEnd w:id="48"/>
      <w:bookmarkEnd w:id="49"/>
    </w:p>
    <w:tbl>
      <w:tblPr>
        <w:tblStyle w:val="15"/>
        <w:tblW w:w="83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8"/>
        <w:gridCol w:w="654"/>
        <w:gridCol w:w="655"/>
        <w:gridCol w:w="644"/>
        <w:gridCol w:w="644"/>
        <w:gridCol w:w="590"/>
        <w:gridCol w:w="644"/>
        <w:gridCol w:w="590"/>
        <w:gridCol w:w="839"/>
        <w:gridCol w:w="680"/>
        <w:gridCol w:w="703"/>
        <w:gridCol w:w="590"/>
        <w:gridCol w:w="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8" w:type="dxa"/>
            <w:vMerge w:val="restart"/>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工程规模</w:t>
            </w:r>
          </w:p>
        </w:tc>
        <w:tc>
          <w:tcPr>
            <w:tcW w:w="3831" w:type="dxa"/>
            <w:gridSpan w:val="6"/>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抢险物料</w:t>
            </w:r>
          </w:p>
        </w:tc>
        <w:tc>
          <w:tcPr>
            <w:tcW w:w="1429" w:type="dxa"/>
            <w:gridSpan w:val="2"/>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救生器材</w:t>
            </w:r>
          </w:p>
        </w:tc>
        <w:tc>
          <w:tcPr>
            <w:tcW w:w="2543" w:type="dxa"/>
            <w:gridSpan w:val="4"/>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小型抢险机具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8" w:type="dxa"/>
            <w:vMerge w:val="continue"/>
            <w:shd w:val="clear" w:color="auto" w:fill="auto"/>
            <w:noWrap w:val="0"/>
            <w:vAlign w:val="center"/>
          </w:tcPr>
          <w:p>
            <w:pPr>
              <w:autoSpaceDE w:val="0"/>
              <w:autoSpaceDN w:val="0"/>
              <w:snapToGrid/>
              <w:spacing w:line="240" w:lineRule="auto"/>
              <w:ind w:firstLine="0" w:firstLineChars="0"/>
              <w:jc w:val="center"/>
              <w:rPr>
                <w:sz w:val="21"/>
                <w:szCs w:val="21"/>
              </w:rPr>
            </w:pPr>
          </w:p>
        </w:tc>
        <w:tc>
          <w:tcPr>
            <w:tcW w:w="654"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袋类</w:t>
            </w:r>
          </w:p>
          <w:p>
            <w:pPr>
              <w:autoSpaceDE w:val="0"/>
              <w:autoSpaceDN w:val="0"/>
              <w:snapToGrid/>
              <w:spacing w:line="240" w:lineRule="auto"/>
              <w:ind w:firstLine="0" w:firstLineChars="0"/>
              <w:jc w:val="center"/>
              <w:rPr>
                <w:sz w:val="21"/>
                <w:szCs w:val="21"/>
              </w:rPr>
            </w:pPr>
            <w:r>
              <w:rPr>
                <w:rFonts w:hint="eastAsia"/>
                <w:sz w:val="21"/>
                <w:szCs w:val="21"/>
              </w:rPr>
              <w:t>(条)</w:t>
            </w:r>
          </w:p>
        </w:tc>
        <w:tc>
          <w:tcPr>
            <w:tcW w:w="655"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土工</w:t>
            </w:r>
          </w:p>
          <w:p>
            <w:pPr>
              <w:autoSpaceDE w:val="0"/>
              <w:autoSpaceDN w:val="0"/>
              <w:snapToGrid/>
              <w:spacing w:line="240" w:lineRule="auto"/>
              <w:ind w:firstLine="0" w:firstLineChars="0"/>
              <w:jc w:val="center"/>
              <w:rPr>
                <w:rFonts w:hint="eastAsia"/>
                <w:sz w:val="21"/>
                <w:szCs w:val="21"/>
              </w:rPr>
            </w:pPr>
            <w:r>
              <w:rPr>
                <w:rFonts w:hint="eastAsia"/>
                <w:sz w:val="21"/>
                <w:szCs w:val="21"/>
              </w:rPr>
              <w:t>布</w:t>
            </w:r>
          </w:p>
          <w:p>
            <w:pPr>
              <w:autoSpaceDE w:val="0"/>
              <w:autoSpaceDN w:val="0"/>
              <w:snapToGrid/>
              <w:spacing w:line="240" w:lineRule="auto"/>
              <w:ind w:firstLine="0" w:firstLineChars="0"/>
              <w:jc w:val="center"/>
              <w:rPr>
                <w:sz w:val="21"/>
                <w:szCs w:val="21"/>
              </w:rPr>
            </w:pPr>
            <w:r>
              <w:rPr>
                <w:sz w:val="21"/>
                <w:szCs w:val="21"/>
              </w:rPr>
              <w:t>(m2)</w:t>
            </w:r>
          </w:p>
        </w:tc>
        <w:tc>
          <w:tcPr>
            <w:tcW w:w="644"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砂</w:t>
            </w:r>
          </w:p>
          <w:p>
            <w:pPr>
              <w:autoSpaceDE w:val="0"/>
              <w:autoSpaceDN w:val="0"/>
              <w:snapToGrid/>
              <w:spacing w:line="240" w:lineRule="auto"/>
              <w:ind w:firstLine="0" w:firstLineChars="0"/>
              <w:jc w:val="center"/>
              <w:rPr>
                <w:rFonts w:hint="eastAsia"/>
                <w:sz w:val="21"/>
                <w:szCs w:val="21"/>
              </w:rPr>
            </w:pPr>
            <w:r>
              <w:rPr>
                <w:rFonts w:hint="eastAsia"/>
                <w:sz w:val="21"/>
                <w:szCs w:val="21"/>
              </w:rPr>
              <w:t>石</w:t>
            </w:r>
          </w:p>
          <w:p>
            <w:pPr>
              <w:autoSpaceDE w:val="0"/>
              <w:autoSpaceDN w:val="0"/>
              <w:snapToGrid/>
              <w:spacing w:line="240" w:lineRule="auto"/>
              <w:ind w:firstLine="0" w:firstLineChars="0"/>
              <w:jc w:val="center"/>
              <w:rPr>
                <w:rFonts w:hint="eastAsia"/>
                <w:sz w:val="21"/>
                <w:szCs w:val="21"/>
              </w:rPr>
            </w:pPr>
            <w:r>
              <w:rPr>
                <w:rFonts w:hint="eastAsia"/>
                <w:sz w:val="21"/>
                <w:szCs w:val="21"/>
              </w:rPr>
              <w:t>料</w:t>
            </w:r>
          </w:p>
          <w:p>
            <w:pPr>
              <w:autoSpaceDE w:val="0"/>
              <w:autoSpaceDN w:val="0"/>
              <w:snapToGrid/>
              <w:spacing w:line="240" w:lineRule="auto"/>
              <w:ind w:firstLine="0" w:firstLineChars="0"/>
              <w:jc w:val="center"/>
              <w:rPr>
                <w:sz w:val="21"/>
                <w:szCs w:val="21"/>
              </w:rPr>
            </w:pPr>
            <w:r>
              <w:rPr>
                <w:sz w:val="21"/>
                <w:szCs w:val="21"/>
              </w:rPr>
              <w:t>(m3)</w:t>
            </w:r>
          </w:p>
        </w:tc>
        <w:tc>
          <w:tcPr>
            <w:tcW w:w="644"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块石</w:t>
            </w:r>
          </w:p>
          <w:p>
            <w:pPr>
              <w:autoSpaceDE w:val="0"/>
              <w:autoSpaceDN w:val="0"/>
              <w:snapToGrid/>
              <w:spacing w:line="240" w:lineRule="auto"/>
              <w:ind w:firstLine="0" w:firstLineChars="0"/>
              <w:jc w:val="center"/>
              <w:rPr>
                <w:sz w:val="21"/>
                <w:szCs w:val="21"/>
              </w:rPr>
            </w:pPr>
            <w:r>
              <w:rPr>
                <w:sz w:val="21"/>
                <w:szCs w:val="21"/>
              </w:rPr>
              <w:t>(m3)</w:t>
            </w:r>
          </w:p>
        </w:tc>
        <w:tc>
          <w:tcPr>
            <w:tcW w:w="59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铅</w:t>
            </w:r>
          </w:p>
          <w:p>
            <w:pPr>
              <w:autoSpaceDE w:val="0"/>
              <w:autoSpaceDN w:val="0"/>
              <w:snapToGrid/>
              <w:spacing w:line="240" w:lineRule="auto"/>
              <w:ind w:firstLine="0" w:firstLineChars="0"/>
              <w:jc w:val="center"/>
              <w:rPr>
                <w:rFonts w:hint="eastAsia"/>
                <w:sz w:val="21"/>
                <w:szCs w:val="21"/>
              </w:rPr>
            </w:pPr>
            <w:r>
              <w:rPr>
                <w:rFonts w:hint="eastAsia"/>
                <w:sz w:val="21"/>
                <w:szCs w:val="21"/>
              </w:rPr>
              <w:t>丝</w:t>
            </w:r>
          </w:p>
          <w:p>
            <w:pPr>
              <w:autoSpaceDE w:val="0"/>
              <w:autoSpaceDN w:val="0"/>
              <w:snapToGrid/>
              <w:spacing w:line="240" w:lineRule="auto"/>
              <w:ind w:firstLine="0" w:firstLineChars="0"/>
              <w:jc w:val="center"/>
              <w:rPr>
                <w:sz w:val="21"/>
                <w:szCs w:val="21"/>
              </w:rPr>
            </w:pPr>
            <w:r>
              <w:rPr>
                <w:sz w:val="21"/>
                <w:szCs w:val="21"/>
              </w:rPr>
              <w:t>(kg)</w:t>
            </w:r>
          </w:p>
        </w:tc>
        <w:tc>
          <w:tcPr>
            <w:tcW w:w="644"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桩木</w:t>
            </w:r>
          </w:p>
          <w:p>
            <w:pPr>
              <w:autoSpaceDE w:val="0"/>
              <w:autoSpaceDN w:val="0"/>
              <w:snapToGrid/>
              <w:spacing w:line="240" w:lineRule="auto"/>
              <w:ind w:firstLine="0" w:firstLineChars="0"/>
              <w:jc w:val="center"/>
              <w:rPr>
                <w:sz w:val="21"/>
                <w:szCs w:val="21"/>
              </w:rPr>
            </w:pPr>
            <w:r>
              <w:rPr>
                <w:sz w:val="21"/>
                <w:szCs w:val="21"/>
              </w:rPr>
              <w:t>(m3)</w:t>
            </w:r>
          </w:p>
        </w:tc>
        <w:tc>
          <w:tcPr>
            <w:tcW w:w="59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救</w:t>
            </w:r>
          </w:p>
          <w:p>
            <w:pPr>
              <w:autoSpaceDE w:val="0"/>
              <w:autoSpaceDN w:val="0"/>
              <w:snapToGrid/>
              <w:spacing w:line="240" w:lineRule="auto"/>
              <w:ind w:firstLine="0" w:firstLineChars="0"/>
              <w:jc w:val="center"/>
              <w:rPr>
                <w:rFonts w:hint="eastAsia"/>
                <w:sz w:val="21"/>
                <w:szCs w:val="21"/>
              </w:rPr>
            </w:pPr>
            <w:r>
              <w:rPr>
                <w:rFonts w:hint="eastAsia"/>
                <w:sz w:val="21"/>
                <w:szCs w:val="21"/>
              </w:rPr>
              <w:t>生</w:t>
            </w:r>
          </w:p>
          <w:p>
            <w:pPr>
              <w:autoSpaceDE w:val="0"/>
              <w:autoSpaceDN w:val="0"/>
              <w:snapToGrid/>
              <w:spacing w:line="240" w:lineRule="auto"/>
              <w:ind w:firstLine="0" w:firstLineChars="0"/>
              <w:jc w:val="center"/>
              <w:rPr>
                <w:rFonts w:hint="eastAsia"/>
                <w:sz w:val="21"/>
                <w:szCs w:val="21"/>
              </w:rPr>
            </w:pPr>
            <w:r>
              <w:rPr>
                <w:rFonts w:hint="eastAsia"/>
                <w:sz w:val="21"/>
                <w:szCs w:val="21"/>
              </w:rPr>
              <w:t>衣</w:t>
            </w:r>
          </w:p>
          <w:p>
            <w:pPr>
              <w:autoSpaceDE w:val="0"/>
              <w:autoSpaceDN w:val="0"/>
              <w:snapToGrid/>
              <w:spacing w:line="240" w:lineRule="auto"/>
              <w:ind w:firstLine="0" w:firstLineChars="0"/>
              <w:jc w:val="center"/>
              <w:rPr>
                <w:sz w:val="21"/>
                <w:szCs w:val="21"/>
              </w:rPr>
            </w:pPr>
            <w:r>
              <w:rPr>
                <w:rFonts w:hint="eastAsia"/>
                <w:sz w:val="21"/>
                <w:szCs w:val="21"/>
              </w:rPr>
              <w:t>(件)</w:t>
            </w:r>
          </w:p>
        </w:tc>
        <w:tc>
          <w:tcPr>
            <w:tcW w:w="839"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抢险救生</w:t>
            </w:r>
          </w:p>
          <w:p>
            <w:pPr>
              <w:autoSpaceDE w:val="0"/>
              <w:autoSpaceDN w:val="0"/>
              <w:snapToGrid/>
              <w:spacing w:line="240" w:lineRule="auto"/>
              <w:ind w:firstLine="0" w:firstLineChars="0"/>
              <w:jc w:val="center"/>
              <w:rPr>
                <w:sz w:val="21"/>
                <w:szCs w:val="21"/>
              </w:rPr>
            </w:pPr>
            <w:r>
              <w:rPr>
                <w:rFonts w:hint="eastAsia"/>
                <w:sz w:val="21"/>
                <w:szCs w:val="21"/>
              </w:rPr>
              <w:t>舟</w:t>
            </w:r>
          </w:p>
          <w:p>
            <w:pPr>
              <w:autoSpaceDE w:val="0"/>
              <w:autoSpaceDN w:val="0"/>
              <w:snapToGrid/>
              <w:spacing w:line="240" w:lineRule="auto"/>
              <w:ind w:firstLine="0" w:firstLineChars="0"/>
              <w:jc w:val="center"/>
              <w:rPr>
                <w:sz w:val="21"/>
                <w:szCs w:val="21"/>
              </w:rPr>
            </w:pPr>
            <w:r>
              <w:rPr>
                <w:rFonts w:hint="eastAsia"/>
                <w:sz w:val="21"/>
                <w:szCs w:val="21"/>
              </w:rPr>
              <w:t xml:space="preserve"> (艘)</w:t>
            </w:r>
          </w:p>
        </w:tc>
        <w:tc>
          <w:tcPr>
            <w:tcW w:w="68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发电</w:t>
            </w:r>
          </w:p>
          <w:p>
            <w:pPr>
              <w:autoSpaceDE w:val="0"/>
              <w:autoSpaceDN w:val="0"/>
              <w:snapToGrid/>
              <w:spacing w:line="240" w:lineRule="auto"/>
              <w:ind w:firstLine="0" w:firstLineChars="0"/>
              <w:jc w:val="center"/>
              <w:rPr>
                <w:rFonts w:hint="eastAsia"/>
                <w:sz w:val="21"/>
                <w:szCs w:val="21"/>
              </w:rPr>
            </w:pPr>
            <w:r>
              <w:rPr>
                <w:rFonts w:hint="eastAsia"/>
                <w:sz w:val="21"/>
                <w:szCs w:val="21"/>
              </w:rPr>
              <w:t>机组</w:t>
            </w:r>
          </w:p>
          <w:p>
            <w:pPr>
              <w:autoSpaceDE w:val="0"/>
              <w:autoSpaceDN w:val="0"/>
              <w:snapToGrid/>
              <w:spacing w:line="240" w:lineRule="auto"/>
              <w:ind w:firstLine="0" w:firstLineChars="0"/>
              <w:jc w:val="center"/>
              <w:rPr>
                <w:sz w:val="21"/>
                <w:szCs w:val="21"/>
              </w:rPr>
            </w:pPr>
            <w:r>
              <w:rPr>
                <w:sz w:val="21"/>
                <w:szCs w:val="21"/>
              </w:rPr>
              <w:t>(kW)</w:t>
            </w:r>
          </w:p>
        </w:tc>
        <w:tc>
          <w:tcPr>
            <w:tcW w:w="703"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便携</w:t>
            </w:r>
          </w:p>
          <w:p>
            <w:pPr>
              <w:autoSpaceDE w:val="0"/>
              <w:autoSpaceDN w:val="0"/>
              <w:snapToGrid/>
              <w:spacing w:line="240" w:lineRule="auto"/>
              <w:ind w:firstLine="0" w:firstLineChars="0"/>
              <w:jc w:val="center"/>
              <w:rPr>
                <w:rFonts w:hint="eastAsia"/>
                <w:sz w:val="21"/>
                <w:szCs w:val="21"/>
              </w:rPr>
            </w:pPr>
            <w:r>
              <w:rPr>
                <w:rFonts w:hint="eastAsia"/>
                <w:sz w:val="21"/>
                <w:szCs w:val="21"/>
              </w:rPr>
              <w:t>式工</w:t>
            </w:r>
          </w:p>
          <w:p>
            <w:pPr>
              <w:autoSpaceDE w:val="0"/>
              <w:autoSpaceDN w:val="0"/>
              <w:snapToGrid/>
              <w:spacing w:line="240" w:lineRule="auto"/>
              <w:ind w:firstLine="0" w:firstLineChars="0"/>
              <w:jc w:val="center"/>
              <w:rPr>
                <w:rFonts w:hint="eastAsia"/>
                <w:sz w:val="21"/>
                <w:szCs w:val="21"/>
              </w:rPr>
            </w:pPr>
            <w:r>
              <w:rPr>
                <w:rFonts w:hint="eastAsia"/>
                <w:sz w:val="21"/>
                <w:szCs w:val="21"/>
              </w:rPr>
              <w:t>作灯</w:t>
            </w:r>
          </w:p>
          <w:p>
            <w:pPr>
              <w:autoSpaceDE w:val="0"/>
              <w:autoSpaceDN w:val="0"/>
              <w:snapToGrid/>
              <w:spacing w:line="240" w:lineRule="auto"/>
              <w:ind w:firstLine="0" w:firstLineChars="0"/>
              <w:jc w:val="center"/>
              <w:rPr>
                <w:sz w:val="21"/>
                <w:szCs w:val="21"/>
              </w:rPr>
            </w:pPr>
            <w:r>
              <w:rPr>
                <w:rFonts w:hint="eastAsia"/>
                <w:sz w:val="21"/>
                <w:szCs w:val="21"/>
              </w:rPr>
              <w:t>(只)</w:t>
            </w:r>
          </w:p>
        </w:tc>
        <w:tc>
          <w:tcPr>
            <w:tcW w:w="59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投</w:t>
            </w:r>
          </w:p>
          <w:p>
            <w:pPr>
              <w:autoSpaceDE w:val="0"/>
              <w:autoSpaceDN w:val="0"/>
              <w:snapToGrid/>
              <w:spacing w:line="240" w:lineRule="auto"/>
              <w:ind w:firstLine="0" w:firstLineChars="0"/>
              <w:jc w:val="center"/>
              <w:rPr>
                <w:rFonts w:hint="eastAsia"/>
                <w:sz w:val="21"/>
                <w:szCs w:val="21"/>
              </w:rPr>
            </w:pPr>
            <w:r>
              <w:rPr>
                <w:rFonts w:hint="eastAsia"/>
                <w:sz w:val="21"/>
                <w:szCs w:val="21"/>
              </w:rPr>
              <w:t>光</w:t>
            </w:r>
          </w:p>
          <w:p>
            <w:pPr>
              <w:autoSpaceDE w:val="0"/>
              <w:autoSpaceDN w:val="0"/>
              <w:snapToGrid/>
              <w:spacing w:line="240" w:lineRule="auto"/>
              <w:ind w:firstLine="0" w:firstLineChars="0"/>
              <w:jc w:val="center"/>
              <w:rPr>
                <w:rFonts w:hint="eastAsia"/>
                <w:sz w:val="21"/>
                <w:szCs w:val="21"/>
              </w:rPr>
            </w:pPr>
            <w:r>
              <w:rPr>
                <w:rFonts w:hint="eastAsia"/>
                <w:sz w:val="21"/>
                <w:szCs w:val="21"/>
              </w:rPr>
              <w:t>灯</w:t>
            </w:r>
          </w:p>
          <w:p>
            <w:pPr>
              <w:autoSpaceDE w:val="0"/>
              <w:autoSpaceDN w:val="0"/>
              <w:snapToGrid/>
              <w:spacing w:line="240" w:lineRule="auto"/>
              <w:ind w:firstLine="0" w:firstLineChars="0"/>
              <w:jc w:val="center"/>
              <w:rPr>
                <w:sz w:val="21"/>
                <w:szCs w:val="21"/>
              </w:rPr>
            </w:pPr>
            <w:r>
              <w:rPr>
                <w:rFonts w:hint="eastAsia"/>
                <w:sz w:val="21"/>
                <w:szCs w:val="21"/>
              </w:rPr>
              <w:t>(只)</w:t>
            </w:r>
          </w:p>
        </w:tc>
        <w:tc>
          <w:tcPr>
            <w:tcW w:w="57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电</w:t>
            </w:r>
          </w:p>
          <w:p>
            <w:pPr>
              <w:autoSpaceDE w:val="0"/>
              <w:autoSpaceDN w:val="0"/>
              <w:snapToGrid/>
              <w:spacing w:line="240" w:lineRule="auto"/>
              <w:ind w:firstLine="0" w:firstLineChars="0"/>
              <w:jc w:val="center"/>
              <w:rPr>
                <w:rFonts w:hint="eastAsia"/>
                <w:sz w:val="21"/>
                <w:szCs w:val="21"/>
              </w:rPr>
            </w:pPr>
            <w:r>
              <w:rPr>
                <w:rFonts w:hint="eastAsia"/>
                <w:sz w:val="21"/>
                <w:szCs w:val="21"/>
              </w:rPr>
              <w:t>缆</w:t>
            </w:r>
          </w:p>
          <w:p>
            <w:pPr>
              <w:autoSpaceDE w:val="0"/>
              <w:autoSpaceDN w:val="0"/>
              <w:snapToGrid/>
              <w:spacing w:line="240" w:lineRule="auto"/>
              <w:ind w:firstLine="0" w:firstLineChars="0"/>
              <w:jc w:val="center"/>
              <w:rPr>
                <w:sz w:val="21"/>
                <w:szCs w:val="21"/>
              </w:rPr>
            </w:pPr>
            <w:r>
              <w:rPr>
                <w:sz w:val="21"/>
                <w:szCs w:val="21"/>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小(1)型</w:t>
            </w:r>
          </w:p>
        </w:tc>
        <w:tc>
          <w:tcPr>
            <w:tcW w:w="654" w:type="dxa"/>
            <w:shd w:val="clear" w:color="auto" w:fill="auto"/>
            <w:noWrap w:val="0"/>
            <w:vAlign w:val="center"/>
          </w:tcPr>
          <w:p>
            <w:pPr>
              <w:autoSpaceDE w:val="0"/>
              <w:autoSpaceDN w:val="0"/>
              <w:snapToGrid/>
              <w:spacing w:line="240" w:lineRule="auto"/>
              <w:ind w:firstLine="0" w:firstLineChars="0"/>
              <w:jc w:val="center"/>
              <w:rPr>
                <w:sz w:val="21"/>
                <w:szCs w:val="21"/>
              </w:rPr>
            </w:pPr>
            <w:r>
              <w:rPr>
                <w:sz w:val="21"/>
                <w:szCs w:val="21"/>
              </w:rPr>
              <w:t>4500</w:t>
            </w:r>
          </w:p>
        </w:tc>
        <w:tc>
          <w:tcPr>
            <w:tcW w:w="655" w:type="dxa"/>
            <w:shd w:val="clear" w:color="auto" w:fill="auto"/>
            <w:noWrap w:val="0"/>
            <w:vAlign w:val="center"/>
          </w:tcPr>
          <w:p>
            <w:pPr>
              <w:autoSpaceDE w:val="0"/>
              <w:autoSpaceDN w:val="0"/>
              <w:snapToGrid/>
              <w:spacing w:line="240" w:lineRule="auto"/>
              <w:ind w:firstLine="0" w:firstLineChars="0"/>
              <w:jc w:val="center"/>
              <w:rPr>
                <w:sz w:val="21"/>
                <w:szCs w:val="21"/>
              </w:rPr>
            </w:pPr>
            <w:r>
              <w:rPr>
                <w:sz w:val="21"/>
                <w:szCs w:val="21"/>
              </w:rPr>
              <w:t>2000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w:t>
            </w:r>
          </w:p>
        </w:tc>
        <w:tc>
          <w:tcPr>
            <w:tcW w:w="839"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68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0</w:t>
            </w:r>
          </w:p>
        </w:tc>
        <w:tc>
          <w:tcPr>
            <w:tcW w:w="703"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0</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57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51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小(2)型</w:t>
            </w:r>
          </w:p>
        </w:tc>
        <w:tc>
          <w:tcPr>
            <w:tcW w:w="65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500</w:t>
            </w:r>
          </w:p>
        </w:tc>
        <w:tc>
          <w:tcPr>
            <w:tcW w:w="655"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8</w:t>
            </w:r>
            <w:r>
              <w:rPr>
                <w:sz w:val="21"/>
                <w:szCs w:val="21"/>
              </w:rPr>
              <w:t>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2</w:t>
            </w:r>
            <w:r>
              <w:rPr>
                <w:sz w:val="21"/>
                <w:szCs w:val="21"/>
              </w:rPr>
              <w:t>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50</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2</w:t>
            </w:r>
            <w:r>
              <w:rPr>
                <w:sz w:val="21"/>
                <w:szCs w:val="21"/>
              </w:rPr>
              <w:t>00</w:t>
            </w:r>
          </w:p>
        </w:tc>
        <w:tc>
          <w:tcPr>
            <w:tcW w:w="644" w:type="dxa"/>
            <w:shd w:val="clear" w:color="auto" w:fill="auto"/>
            <w:noWrap w:val="0"/>
            <w:vAlign w:val="center"/>
          </w:tcPr>
          <w:p>
            <w:pPr>
              <w:autoSpaceDE w:val="0"/>
              <w:autoSpaceDN w:val="0"/>
              <w:snapToGrid/>
              <w:spacing w:line="240" w:lineRule="auto"/>
              <w:ind w:firstLine="0" w:firstLineChars="0"/>
              <w:jc w:val="center"/>
              <w:rPr>
                <w:sz w:val="21"/>
                <w:szCs w:val="21"/>
              </w:rPr>
            </w:pPr>
            <w:r>
              <w:rPr>
                <w:sz w:val="21"/>
                <w:szCs w:val="21"/>
              </w:rPr>
              <w:t>0.5</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2</w:t>
            </w:r>
            <w:r>
              <w:rPr>
                <w:sz w:val="21"/>
                <w:szCs w:val="21"/>
              </w:rPr>
              <w:t>0</w:t>
            </w:r>
          </w:p>
        </w:tc>
        <w:tc>
          <w:tcPr>
            <w:tcW w:w="839"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w:t>
            </w:r>
          </w:p>
        </w:tc>
        <w:tc>
          <w:tcPr>
            <w:tcW w:w="68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p>
        </w:tc>
        <w:tc>
          <w:tcPr>
            <w:tcW w:w="703"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p>
        </w:tc>
        <w:tc>
          <w:tcPr>
            <w:tcW w:w="59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57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5" w:type="dxa"/>
            <w:gridSpan w:val="13"/>
            <w:shd w:val="clear" w:color="auto" w:fill="auto"/>
            <w:noWrap w:val="0"/>
            <w:vAlign w:val="top"/>
          </w:tcPr>
          <w:p>
            <w:pPr>
              <w:autoSpaceDE w:val="0"/>
              <w:autoSpaceDN w:val="0"/>
              <w:snapToGrid/>
              <w:spacing w:line="240" w:lineRule="auto"/>
              <w:ind w:firstLine="420"/>
              <w:jc w:val="left"/>
              <w:rPr>
                <w:rFonts w:hint="eastAsia"/>
                <w:sz w:val="21"/>
                <w:szCs w:val="21"/>
              </w:rPr>
            </w:pPr>
            <w:r>
              <w:rPr>
                <w:rFonts w:hint="eastAsia"/>
                <w:sz w:val="21"/>
                <w:szCs w:val="21"/>
              </w:rPr>
              <w:t>注1：块石和砂石料储备视水库大坝工程情况和抢险需要在总量范围内可以互相调整。</w:t>
            </w:r>
          </w:p>
          <w:p>
            <w:pPr>
              <w:autoSpaceDE w:val="0"/>
              <w:autoSpaceDN w:val="0"/>
              <w:snapToGrid/>
              <w:spacing w:line="240" w:lineRule="auto"/>
              <w:ind w:firstLine="420"/>
              <w:jc w:val="left"/>
              <w:rPr>
                <w:rFonts w:hint="eastAsia"/>
                <w:sz w:val="21"/>
                <w:szCs w:val="21"/>
              </w:rPr>
            </w:pPr>
            <w:r>
              <w:rPr>
                <w:rFonts w:hint="eastAsia"/>
                <w:sz w:val="21"/>
                <w:szCs w:val="21"/>
              </w:rPr>
              <w:t>注2：上表所列为每座水库大坝防汛物资储备单项品种基数表。每座水库防汛物资储备单项品种储备数量=防汛物资储备单项品种基数×大坝安全状况调整系数×坝长调整系数×坝高调整系数。</w:t>
            </w:r>
          </w:p>
          <w:p>
            <w:pPr>
              <w:autoSpaceDE w:val="0"/>
              <w:autoSpaceDN w:val="0"/>
              <w:snapToGrid/>
              <w:spacing w:line="240" w:lineRule="auto"/>
              <w:ind w:firstLine="420"/>
              <w:jc w:val="left"/>
              <w:rPr>
                <w:rFonts w:hint="eastAsia"/>
                <w:sz w:val="21"/>
                <w:szCs w:val="21"/>
              </w:rPr>
            </w:pPr>
            <w:r>
              <w:rPr>
                <w:rFonts w:hint="eastAsia"/>
                <w:sz w:val="21"/>
                <w:szCs w:val="21"/>
              </w:rPr>
              <w:t>注3：大坝安全状况调整系数。大坝安全类别为一类坝时，调整系数为1.0；大坝安全类别为二类坝时，调整系数为1.5；大坝安全类别为三类坝时，调整系数为2.5。</w:t>
            </w:r>
          </w:p>
          <w:p>
            <w:pPr>
              <w:autoSpaceDE w:val="0"/>
              <w:autoSpaceDN w:val="0"/>
              <w:snapToGrid/>
              <w:spacing w:line="240" w:lineRule="auto"/>
              <w:ind w:firstLine="420"/>
              <w:jc w:val="left"/>
              <w:rPr>
                <w:rFonts w:hint="eastAsia"/>
                <w:sz w:val="21"/>
                <w:szCs w:val="21"/>
              </w:rPr>
            </w:pPr>
            <w:r>
              <w:rPr>
                <w:rFonts w:hint="eastAsia"/>
                <w:sz w:val="21"/>
                <w:szCs w:val="21"/>
              </w:rPr>
              <w:t>注4：坝长调整系数。坝长小于100m时，调整系数为0.7；坝长在100m~1000m之间时，调整系数为0.7~1.0；坝长在1000m~2000m 之间时，调整系数为1.0~1.1；坝长大于2000m 时，调整系数1.2。</w:t>
            </w:r>
          </w:p>
          <w:p>
            <w:pPr>
              <w:autoSpaceDE w:val="0"/>
              <w:autoSpaceDN w:val="0"/>
              <w:snapToGrid/>
              <w:spacing w:line="240" w:lineRule="auto"/>
              <w:ind w:firstLine="420"/>
              <w:jc w:val="left"/>
              <w:rPr>
                <w:rFonts w:hint="eastAsia"/>
                <w:sz w:val="21"/>
                <w:szCs w:val="21"/>
              </w:rPr>
            </w:pPr>
            <w:r>
              <w:rPr>
                <w:rFonts w:hint="eastAsia"/>
                <w:sz w:val="21"/>
                <w:szCs w:val="21"/>
              </w:rPr>
              <w:t>注5：坝高调整系数。坝高小于15m 时，调整系数为0.8；坝高在15m~30m 之间时，调整系数为0.8~1.1；坝高在30m~50m 之间时，调整系数为1.1~1.35；坝高大于50m 时，调整系数1.5。</w:t>
            </w:r>
          </w:p>
          <w:p>
            <w:pPr>
              <w:autoSpaceDE w:val="0"/>
              <w:autoSpaceDN w:val="0"/>
              <w:snapToGrid/>
              <w:spacing w:line="240" w:lineRule="auto"/>
              <w:ind w:firstLine="420"/>
              <w:jc w:val="left"/>
              <w:rPr>
                <w:rFonts w:hint="eastAsia"/>
                <w:sz w:val="21"/>
                <w:szCs w:val="21"/>
              </w:rPr>
            </w:pPr>
            <w:r>
              <w:rPr>
                <w:rFonts w:hint="eastAsia"/>
                <w:sz w:val="21"/>
                <w:szCs w:val="21"/>
              </w:rPr>
              <w:t>注6：有副坝时，副坝防汛物资储备单项品种基数取上表所列数值的1/2取值后单独计算。</w:t>
            </w:r>
          </w:p>
          <w:p>
            <w:pPr>
              <w:autoSpaceDE w:val="0"/>
              <w:autoSpaceDN w:val="0"/>
              <w:snapToGrid/>
              <w:spacing w:line="240" w:lineRule="auto"/>
              <w:ind w:firstLine="420"/>
              <w:jc w:val="left"/>
              <w:rPr>
                <w:sz w:val="21"/>
                <w:szCs w:val="21"/>
              </w:rPr>
            </w:pPr>
            <w:r>
              <w:rPr>
                <w:rFonts w:hint="eastAsia"/>
                <w:sz w:val="21"/>
                <w:szCs w:val="21"/>
              </w:rPr>
              <w:t>*注7：每座小（2）型水库宜配备1艘抢险救生舟。</w:t>
            </w:r>
          </w:p>
        </w:tc>
      </w:tr>
    </w:tbl>
    <w:p>
      <w:pPr>
        <w:autoSpaceDE w:val="0"/>
        <w:autoSpaceDN w:val="0"/>
        <w:snapToGrid/>
        <w:spacing w:line="240" w:lineRule="auto"/>
        <w:ind w:firstLine="0" w:firstLineChars="0"/>
        <w:jc w:val="left"/>
      </w:pPr>
    </w:p>
    <w:p>
      <w:pPr>
        <w:ind w:firstLine="480"/>
        <w:rPr>
          <w:rFonts w:ascii="宋体" w:cs="宋体"/>
          <w:kern w:val="0"/>
        </w:rPr>
      </w:pPr>
      <w:r>
        <w:rPr>
          <w:rFonts w:hint="eastAsia"/>
        </w:rPr>
        <w:t>洋坑水库坝顶长度1</w:t>
      </w:r>
      <w:r>
        <w:t>68m</w:t>
      </w:r>
      <w:r>
        <w:rPr>
          <w:rFonts w:hint="eastAsia"/>
        </w:rPr>
        <w:t>，最大坝高3</w:t>
      </w:r>
      <w:r>
        <w:t>3.5</w:t>
      </w:r>
      <w:r>
        <w:rPr>
          <w:rFonts w:hint="eastAsia"/>
        </w:rPr>
        <w:t>m，2</w:t>
      </w:r>
      <w:r>
        <w:t>021</w:t>
      </w:r>
      <w:r>
        <w:rPr>
          <w:rFonts w:hint="eastAsia"/>
        </w:rPr>
        <w:t>年安全鉴定为三类坝，大坝加固处理后为一类坝，因此大坝安全状况调整系数取</w:t>
      </w:r>
      <w:r>
        <w:t>1.0</w:t>
      </w:r>
      <w:r>
        <w:rPr>
          <w:rFonts w:hint="eastAsia"/>
        </w:rPr>
        <w:t>，坝长调整系数取</w:t>
      </w:r>
      <w:r>
        <w:t>0.7</w:t>
      </w:r>
      <w:r>
        <w:rPr>
          <w:rFonts w:hint="eastAsia"/>
        </w:rPr>
        <w:t>，坝高调整系</w:t>
      </w:r>
      <w:r>
        <w:rPr>
          <w:rFonts w:hint="eastAsia" w:ascii="宋体" w:cs="宋体"/>
          <w:kern w:val="0"/>
        </w:rPr>
        <w:t>数</w:t>
      </w:r>
      <w:r>
        <w:rPr>
          <w:kern w:val="0"/>
        </w:rPr>
        <w:t>1.1</w:t>
      </w:r>
      <w:r>
        <w:rPr>
          <w:rFonts w:hint="eastAsia" w:ascii="宋体" w:cs="宋体"/>
          <w:kern w:val="0"/>
        </w:rPr>
        <w:t>，需要配备有防汛物资见表1</w:t>
      </w:r>
      <w:r>
        <w:rPr>
          <w:rFonts w:ascii="宋体" w:cs="宋体"/>
          <w:kern w:val="0"/>
        </w:rPr>
        <w:t>3.6.2</w:t>
      </w:r>
      <w:r>
        <w:rPr>
          <w:rFonts w:hint="eastAsia" w:ascii="宋体" w:cs="宋体"/>
          <w:kern w:val="0"/>
        </w:rPr>
        <w:t>。</w:t>
      </w:r>
    </w:p>
    <w:p>
      <w:pPr>
        <w:ind w:firstLine="480"/>
        <w:jc w:val="center"/>
        <w:rPr>
          <w:rFonts w:hint="eastAsia" w:ascii="宋体" w:cs="宋体"/>
          <w:kern w:val="0"/>
        </w:rPr>
      </w:pPr>
      <w:bookmarkStart w:id="50" w:name="_Toc1442641167_WPSOffice_Level1"/>
      <w:bookmarkStart w:id="51" w:name="_Toc1330821252_WPSOffice_Level1"/>
      <w:r>
        <w:rPr>
          <w:rFonts w:hint="eastAsia" w:ascii="宋体" w:cs="宋体"/>
          <w:kern w:val="0"/>
        </w:rPr>
        <w:t>表1</w:t>
      </w:r>
      <w:r>
        <w:rPr>
          <w:rFonts w:ascii="宋体" w:cs="宋体"/>
          <w:kern w:val="0"/>
        </w:rPr>
        <w:t xml:space="preserve">3.6.2 </w:t>
      </w:r>
      <w:r>
        <w:rPr>
          <w:rFonts w:hint="eastAsia" w:ascii="宋体" w:cs="宋体"/>
          <w:kern w:val="0"/>
        </w:rPr>
        <w:t>洋坑水库防汛物资储备表</w:t>
      </w:r>
      <w:bookmarkEnd w:id="50"/>
      <w:bookmarkEnd w:id="51"/>
    </w:p>
    <w:tbl>
      <w:tblPr>
        <w:tblStyle w:val="15"/>
        <w:tblW w:w="83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4"/>
        <w:gridCol w:w="681"/>
        <w:gridCol w:w="680"/>
        <w:gridCol w:w="642"/>
        <w:gridCol w:w="642"/>
        <w:gridCol w:w="588"/>
        <w:gridCol w:w="642"/>
        <w:gridCol w:w="588"/>
        <w:gridCol w:w="817"/>
        <w:gridCol w:w="678"/>
        <w:gridCol w:w="692"/>
        <w:gridCol w:w="588"/>
        <w:gridCol w:w="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4" w:type="dxa"/>
            <w:vMerge w:val="restart"/>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工程规模</w:t>
            </w:r>
          </w:p>
        </w:tc>
        <w:tc>
          <w:tcPr>
            <w:tcW w:w="3875" w:type="dxa"/>
            <w:gridSpan w:val="6"/>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抢险物料</w:t>
            </w:r>
          </w:p>
        </w:tc>
        <w:tc>
          <w:tcPr>
            <w:tcW w:w="1405" w:type="dxa"/>
            <w:gridSpan w:val="2"/>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救生器材</w:t>
            </w:r>
          </w:p>
        </w:tc>
        <w:tc>
          <w:tcPr>
            <w:tcW w:w="2531" w:type="dxa"/>
            <w:gridSpan w:val="4"/>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小型抢险机具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4" w:type="dxa"/>
            <w:vMerge w:val="continue"/>
            <w:shd w:val="clear" w:color="auto" w:fill="auto"/>
            <w:noWrap w:val="0"/>
            <w:vAlign w:val="center"/>
          </w:tcPr>
          <w:p>
            <w:pPr>
              <w:autoSpaceDE w:val="0"/>
              <w:autoSpaceDN w:val="0"/>
              <w:snapToGrid/>
              <w:spacing w:line="240" w:lineRule="auto"/>
              <w:ind w:firstLine="0" w:firstLineChars="0"/>
              <w:jc w:val="center"/>
              <w:rPr>
                <w:sz w:val="21"/>
                <w:szCs w:val="21"/>
              </w:rPr>
            </w:pPr>
          </w:p>
        </w:tc>
        <w:tc>
          <w:tcPr>
            <w:tcW w:w="681"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袋类</w:t>
            </w:r>
          </w:p>
          <w:p>
            <w:pPr>
              <w:autoSpaceDE w:val="0"/>
              <w:autoSpaceDN w:val="0"/>
              <w:snapToGrid/>
              <w:spacing w:line="240" w:lineRule="auto"/>
              <w:ind w:firstLine="0" w:firstLineChars="0"/>
              <w:jc w:val="center"/>
              <w:rPr>
                <w:sz w:val="21"/>
                <w:szCs w:val="21"/>
              </w:rPr>
            </w:pPr>
            <w:r>
              <w:rPr>
                <w:rFonts w:hint="eastAsia"/>
                <w:sz w:val="21"/>
                <w:szCs w:val="21"/>
              </w:rPr>
              <w:t>(条)</w:t>
            </w:r>
          </w:p>
        </w:tc>
        <w:tc>
          <w:tcPr>
            <w:tcW w:w="680"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土工</w:t>
            </w:r>
          </w:p>
          <w:p>
            <w:pPr>
              <w:autoSpaceDE w:val="0"/>
              <w:autoSpaceDN w:val="0"/>
              <w:snapToGrid/>
              <w:spacing w:line="240" w:lineRule="auto"/>
              <w:ind w:firstLine="0" w:firstLineChars="0"/>
              <w:jc w:val="center"/>
              <w:rPr>
                <w:rFonts w:hint="eastAsia"/>
                <w:sz w:val="21"/>
                <w:szCs w:val="21"/>
              </w:rPr>
            </w:pPr>
            <w:r>
              <w:rPr>
                <w:rFonts w:hint="eastAsia"/>
                <w:sz w:val="21"/>
                <w:szCs w:val="21"/>
              </w:rPr>
              <w:t>布</w:t>
            </w:r>
          </w:p>
          <w:p>
            <w:pPr>
              <w:autoSpaceDE w:val="0"/>
              <w:autoSpaceDN w:val="0"/>
              <w:snapToGrid/>
              <w:spacing w:line="240" w:lineRule="auto"/>
              <w:ind w:firstLine="0" w:firstLineChars="0"/>
              <w:jc w:val="center"/>
              <w:rPr>
                <w:sz w:val="21"/>
                <w:szCs w:val="21"/>
              </w:rPr>
            </w:pPr>
            <w:r>
              <w:rPr>
                <w:sz w:val="21"/>
                <w:szCs w:val="21"/>
              </w:rPr>
              <w:t>(m2)</w:t>
            </w:r>
          </w:p>
        </w:tc>
        <w:tc>
          <w:tcPr>
            <w:tcW w:w="642"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砂</w:t>
            </w:r>
          </w:p>
          <w:p>
            <w:pPr>
              <w:autoSpaceDE w:val="0"/>
              <w:autoSpaceDN w:val="0"/>
              <w:snapToGrid/>
              <w:spacing w:line="240" w:lineRule="auto"/>
              <w:ind w:firstLine="0" w:firstLineChars="0"/>
              <w:jc w:val="center"/>
              <w:rPr>
                <w:rFonts w:hint="eastAsia"/>
                <w:sz w:val="21"/>
                <w:szCs w:val="21"/>
              </w:rPr>
            </w:pPr>
            <w:r>
              <w:rPr>
                <w:rFonts w:hint="eastAsia"/>
                <w:sz w:val="21"/>
                <w:szCs w:val="21"/>
              </w:rPr>
              <w:t>石</w:t>
            </w:r>
          </w:p>
          <w:p>
            <w:pPr>
              <w:autoSpaceDE w:val="0"/>
              <w:autoSpaceDN w:val="0"/>
              <w:snapToGrid/>
              <w:spacing w:line="240" w:lineRule="auto"/>
              <w:ind w:firstLine="0" w:firstLineChars="0"/>
              <w:jc w:val="center"/>
              <w:rPr>
                <w:rFonts w:hint="eastAsia"/>
                <w:sz w:val="21"/>
                <w:szCs w:val="21"/>
              </w:rPr>
            </w:pPr>
            <w:r>
              <w:rPr>
                <w:rFonts w:hint="eastAsia"/>
                <w:sz w:val="21"/>
                <w:szCs w:val="21"/>
              </w:rPr>
              <w:t>料</w:t>
            </w:r>
          </w:p>
          <w:p>
            <w:pPr>
              <w:autoSpaceDE w:val="0"/>
              <w:autoSpaceDN w:val="0"/>
              <w:snapToGrid/>
              <w:spacing w:line="240" w:lineRule="auto"/>
              <w:ind w:firstLine="0" w:firstLineChars="0"/>
              <w:jc w:val="center"/>
              <w:rPr>
                <w:sz w:val="21"/>
                <w:szCs w:val="21"/>
              </w:rPr>
            </w:pPr>
            <w:r>
              <w:rPr>
                <w:sz w:val="21"/>
                <w:szCs w:val="21"/>
              </w:rPr>
              <w:t>(m3)</w:t>
            </w:r>
          </w:p>
        </w:tc>
        <w:tc>
          <w:tcPr>
            <w:tcW w:w="642"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块石</w:t>
            </w:r>
          </w:p>
          <w:p>
            <w:pPr>
              <w:autoSpaceDE w:val="0"/>
              <w:autoSpaceDN w:val="0"/>
              <w:snapToGrid/>
              <w:spacing w:line="240" w:lineRule="auto"/>
              <w:ind w:firstLine="0" w:firstLineChars="0"/>
              <w:jc w:val="center"/>
              <w:rPr>
                <w:sz w:val="21"/>
                <w:szCs w:val="21"/>
              </w:rPr>
            </w:pPr>
            <w:r>
              <w:rPr>
                <w:sz w:val="21"/>
                <w:szCs w:val="21"/>
              </w:rPr>
              <w:t>(m3)</w:t>
            </w:r>
          </w:p>
        </w:tc>
        <w:tc>
          <w:tcPr>
            <w:tcW w:w="588"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铅</w:t>
            </w:r>
          </w:p>
          <w:p>
            <w:pPr>
              <w:autoSpaceDE w:val="0"/>
              <w:autoSpaceDN w:val="0"/>
              <w:snapToGrid/>
              <w:spacing w:line="240" w:lineRule="auto"/>
              <w:ind w:firstLine="0" w:firstLineChars="0"/>
              <w:jc w:val="center"/>
              <w:rPr>
                <w:rFonts w:hint="eastAsia"/>
                <w:sz w:val="21"/>
                <w:szCs w:val="21"/>
              </w:rPr>
            </w:pPr>
            <w:r>
              <w:rPr>
                <w:rFonts w:hint="eastAsia"/>
                <w:sz w:val="21"/>
                <w:szCs w:val="21"/>
              </w:rPr>
              <w:t>丝</w:t>
            </w:r>
          </w:p>
          <w:p>
            <w:pPr>
              <w:autoSpaceDE w:val="0"/>
              <w:autoSpaceDN w:val="0"/>
              <w:snapToGrid/>
              <w:spacing w:line="240" w:lineRule="auto"/>
              <w:ind w:firstLine="0" w:firstLineChars="0"/>
              <w:jc w:val="center"/>
              <w:rPr>
                <w:sz w:val="21"/>
                <w:szCs w:val="21"/>
              </w:rPr>
            </w:pPr>
            <w:r>
              <w:rPr>
                <w:sz w:val="21"/>
                <w:szCs w:val="21"/>
              </w:rPr>
              <w:t>(kg)</w:t>
            </w:r>
          </w:p>
        </w:tc>
        <w:tc>
          <w:tcPr>
            <w:tcW w:w="642"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桩木</w:t>
            </w:r>
          </w:p>
          <w:p>
            <w:pPr>
              <w:autoSpaceDE w:val="0"/>
              <w:autoSpaceDN w:val="0"/>
              <w:snapToGrid/>
              <w:spacing w:line="240" w:lineRule="auto"/>
              <w:ind w:firstLine="0" w:firstLineChars="0"/>
              <w:jc w:val="center"/>
              <w:rPr>
                <w:sz w:val="21"/>
                <w:szCs w:val="21"/>
              </w:rPr>
            </w:pPr>
            <w:r>
              <w:rPr>
                <w:sz w:val="21"/>
                <w:szCs w:val="21"/>
              </w:rPr>
              <w:t>(m3)</w:t>
            </w:r>
          </w:p>
        </w:tc>
        <w:tc>
          <w:tcPr>
            <w:tcW w:w="588"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救</w:t>
            </w:r>
          </w:p>
          <w:p>
            <w:pPr>
              <w:autoSpaceDE w:val="0"/>
              <w:autoSpaceDN w:val="0"/>
              <w:snapToGrid/>
              <w:spacing w:line="240" w:lineRule="auto"/>
              <w:ind w:firstLine="0" w:firstLineChars="0"/>
              <w:jc w:val="center"/>
              <w:rPr>
                <w:rFonts w:hint="eastAsia"/>
                <w:sz w:val="21"/>
                <w:szCs w:val="21"/>
              </w:rPr>
            </w:pPr>
            <w:r>
              <w:rPr>
                <w:rFonts w:hint="eastAsia"/>
                <w:sz w:val="21"/>
                <w:szCs w:val="21"/>
              </w:rPr>
              <w:t>生</w:t>
            </w:r>
          </w:p>
          <w:p>
            <w:pPr>
              <w:autoSpaceDE w:val="0"/>
              <w:autoSpaceDN w:val="0"/>
              <w:snapToGrid/>
              <w:spacing w:line="240" w:lineRule="auto"/>
              <w:ind w:firstLine="0" w:firstLineChars="0"/>
              <w:jc w:val="center"/>
              <w:rPr>
                <w:rFonts w:hint="eastAsia"/>
                <w:sz w:val="21"/>
                <w:szCs w:val="21"/>
              </w:rPr>
            </w:pPr>
            <w:r>
              <w:rPr>
                <w:rFonts w:hint="eastAsia"/>
                <w:sz w:val="21"/>
                <w:szCs w:val="21"/>
              </w:rPr>
              <w:t>衣</w:t>
            </w:r>
          </w:p>
          <w:p>
            <w:pPr>
              <w:autoSpaceDE w:val="0"/>
              <w:autoSpaceDN w:val="0"/>
              <w:snapToGrid/>
              <w:spacing w:line="240" w:lineRule="auto"/>
              <w:ind w:firstLine="0" w:firstLineChars="0"/>
              <w:jc w:val="center"/>
              <w:rPr>
                <w:sz w:val="21"/>
                <w:szCs w:val="21"/>
              </w:rPr>
            </w:pPr>
            <w:r>
              <w:rPr>
                <w:rFonts w:hint="eastAsia"/>
                <w:sz w:val="21"/>
                <w:szCs w:val="21"/>
              </w:rPr>
              <w:t>(件)</w:t>
            </w:r>
          </w:p>
        </w:tc>
        <w:tc>
          <w:tcPr>
            <w:tcW w:w="817"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抢险救生</w:t>
            </w:r>
          </w:p>
          <w:p>
            <w:pPr>
              <w:autoSpaceDE w:val="0"/>
              <w:autoSpaceDN w:val="0"/>
              <w:snapToGrid/>
              <w:spacing w:line="240" w:lineRule="auto"/>
              <w:ind w:firstLine="0" w:firstLineChars="0"/>
              <w:jc w:val="center"/>
              <w:rPr>
                <w:sz w:val="21"/>
                <w:szCs w:val="21"/>
              </w:rPr>
            </w:pPr>
            <w:r>
              <w:rPr>
                <w:rFonts w:hint="eastAsia"/>
                <w:sz w:val="21"/>
                <w:szCs w:val="21"/>
              </w:rPr>
              <w:t>舟</w:t>
            </w:r>
          </w:p>
          <w:p>
            <w:pPr>
              <w:autoSpaceDE w:val="0"/>
              <w:autoSpaceDN w:val="0"/>
              <w:snapToGrid/>
              <w:spacing w:line="240" w:lineRule="auto"/>
              <w:ind w:firstLine="0" w:firstLineChars="0"/>
              <w:jc w:val="center"/>
              <w:rPr>
                <w:sz w:val="21"/>
                <w:szCs w:val="21"/>
              </w:rPr>
            </w:pPr>
            <w:r>
              <w:rPr>
                <w:rFonts w:hint="eastAsia"/>
                <w:sz w:val="21"/>
                <w:szCs w:val="21"/>
              </w:rPr>
              <w:t xml:space="preserve"> (艘)</w:t>
            </w:r>
          </w:p>
        </w:tc>
        <w:tc>
          <w:tcPr>
            <w:tcW w:w="678"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发电</w:t>
            </w:r>
          </w:p>
          <w:p>
            <w:pPr>
              <w:autoSpaceDE w:val="0"/>
              <w:autoSpaceDN w:val="0"/>
              <w:snapToGrid/>
              <w:spacing w:line="240" w:lineRule="auto"/>
              <w:ind w:firstLine="0" w:firstLineChars="0"/>
              <w:jc w:val="center"/>
              <w:rPr>
                <w:rFonts w:hint="eastAsia"/>
                <w:sz w:val="21"/>
                <w:szCs w:val="21"/>
              </w:rPr>
            </w:pPr>
            <w:r>
              <w:rPr>
                <w:rFonts w:hint="eastAsia"/>
                <w:sz w:val="21"/>
                <w:szCs w:val="21"/>
              </w:rPr>
              <w:t>机组</w:t>
            </w:r>
          </w:p>
          <w:p>
            <w:pPr>
              <w:autoSpaceDE w:val="0"/>
              <w:autoSpaceDN w:val="0"/>
              <w:snapToGrid/>
              <w:spacing w:line="240" w:lineRule="auto"/>
              <w:ind w:firstLine="0" w:firstLineChars="0"/>
              <w:jc w:val="center"/>
              <w:rPr>
                <w:sz w:val="21"/>
                <w:szCs w:val="21"/>
              </w:rPr>
            </w:pPr>
            <w:r>
              <w:rPr>
                <w:sz w:val="21"/>
                <w:szCs w:val="21"/>
              </w:rPr>
              <w:t>(kW)</w:t>
            </w:r>
          </w:p>
        </w:tc>
        <w:tc>
          <w:tcPr>
            <w:tcW w:w="692"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便携</w:t>
            </w:r>
          </w:p>
          <w:p>
            <w:pPr>
              <w:autoSpaceDE w:val="0"/>
              <w:autoSpaceDN w:val="0"/>
              <w:snapToGrid/>
              <w:spacing w:line="240" w:lineRule="auto"/>
              <w:ind w:firstLine="0" w:firstLineChars="0"/>
              <w:jc w:val="center"/>
              <w:rPr>
                <w:rFonts w:hint="eastAsia"/>
                <w:sz w:val="21"/>
                <w:szCs w:val="21"/>
              </w:rPr>
            </w:pPr>
            <w:r>
              <w:rPr>
                <w:rFonts w:hint="eastAsia"/>
                <w:sz w:val="21"/>
                <w:szCs w:val="21"/>
              </w:rPr>
              <w:t>式工</w:t>
            </w:r>
          </w:p>
          <w:p>
            <w:pPr>
              <w:autoSpaceDE w:val="0"/>
              <w:autoSpaceDN w:val="0"/>
              <w:snapToGrid/>
              <w:spacing w:line="240" w:lineRule="auto"/>
              <w:ind w:firstLine="0" w:firstLineChars="0"/>
              <w:jc w:val="center"/>
              <w:rPr>
                <w:rFonts w:hint="eastAsia"/>
                <w:sz w:val="21"/>
                <w:szCs w:val="21"/>
              </w:rPr>
            </w:pPr>
            <w:r>
              <w:rPr>
                <w:rFonts w:hint="eastAsia"/>
                <w:sz w:val="21"/>
                <w:szCs w:val="21"/>
              </w:rPr>
              <w:t>作灯</w:t>
            </w:r>
          </w:p>
          <w:p>
            <w:pPr>
              <w:autoSpaceDE w:val="0"/>
              <w:autoSpaceDN w:val="0"/>
              <w:snapToGrid/>
              <w:spacing w:line="240" w:lineRule="auto"/>
              <w:ind w:firstLine="0" w:firstLineChars="0"/>
              <w:jc w:val="center"/>
              <w:rPr>
                <w:sz w:val="21"/>
                <w:szCs w:val="21"/>
              </w:rPr>
            </w:pPr>
            <w:r>
              <w:rPr>
                <w:rFonts w:hint="eastAsia"/>
                <w:sz w:val="21"/>
                <w:szCs w:val="21"/>
              </w:rPr>
              <w:t>(只)</w:t>
            </w:r>
          </w:p>
        </w:tc>
        <w:tc>
          <w:tcPr>
            <w:tcW w:w="588"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投</w:t>
            </w:r>
          </w:p>
          <w:p>
            <w:pPr>
              <w:autoSpaceDE w:val="0"/>
              <w:autoSpaceDN w:val="0"/>
              <w:snapToGrid/>
              <w:spacing w:line="240" w:lineRule="auto"/>
              <w:ind w:firstLine="0" w:firstLineChars="0"/>
              <w:jc w:val="center"/>
              <w:rPr>
                <w:rFonts w:hint="eastAsia"/>
                <w:sz w:val="21"/>
                <w:szCs w:val="21"/>
              </w:rPr>
            </w:pPr>
            <w:r>
              <w:rPr>
                <w:rFonts w:hint="eastAsia"/>
                <w:sz w:val="21"/>
                <w:szCs w:val="21"/>
              </w:rPr>
              <w:t>光</w:t>
            </w:r>
          </w:p>
          <w:p>
            <w:pPr>
              <w:autoSpaceDE w:val="0"/>
              <w:autoSpaceDN w:val="0"/>
              <w:snapToGrid/>
              <w:spacing w:line="240" w:lineRule="auto"/>
              <w:ind w:firstLine="0" w:firstLineChars="0"/>
              <w:jc w:val="center"/>
              <w:rPr>
                <w:rFonts w:hint="eastAsia"/>
                <w:sz w:val="21"/>
                <w:szCs w:val="21"/>
              </w:rPr>
            </w:pPr>
            <w:r>
              <w:rPr>
                <w:rFonts w:hint="eastAsia"/>
                <w:sz w:val="21"/>
                <w:szCs w:val="21"/>
              </w:rPr>
              <w:t>灯</w:t>
            </w:r>
          </w:p>
          <w:p>
            <w:pPr>
              <w:autoSpaceDE w:val="0"/>
              <w:autoSpaceDN w:val="0"/>
              <w:snapToGrid/>
              <w:spacing w:line="240" w:lineRule="auto"/>
              <w:ind w:firstLine="0" w:firstLineChars="0"/>
              <w:jc w:val="center"/>
              <w:rPr>
                <w:sz w:val="21"/>
                <w:szCs w:val="21"/>
              </w:rPr>
            </w:pPr>
            <w:r>
              <w:rPr>
                <w:rFonts w:hint="eastAsia"/>
                <w:sz w:val="21"/>
                <w:szCs w:val="21"/>
              </w:rPr>
              <w:t>(只)</w:t>
            </w:r>
          </w:p>
        </w:tc>
        <w:tc>
          <w:tcPr>
            <w:tcW w:w="573" w:type="dxa"/>
            <w:shd w:val="clear" w:color="auto" w:fill="auto"/>
            <w:noWrap w:val="0"/>
            <w:vAlign w:val="center"/>
          </w:tcPr>
          <w:p>
            <w:pPr>
              <w:autoSpaceDE w:val="0"/>
              <w:autoSpaceDN w:val="0"/>
              <w:snapToGrid/>
              <w:spacing w:line="240" w:lineRule="auto"/>
              <w:ind w:firstLine="0" w:firstLineChars="0"/>
              <w:jc w:val="center"/>
              <w:rPr>
                <w:rFonts w:hint="eastAsia"/>
                <w:sz w:val="21"/>
                <w:szCs w:val="21"/>
              </w:rPr>
            </w:pPr>
            <w:r>
              <w:rPr>
                <w:rFonts w:hint="eastAsia"/>
                <w:sz w:val="21"/>
                <w:szCs w:val="21"/>
              </w:rPr>
              <w:t>电</w:t>
            </w:r>
          </w:p>
          <w:p>
            <w:pPr>
              <w:autoSpaceDE w:val="0"/>
              <w:autoSpaceDN w:val="0"/>
              <w:snapToGrid/>
              <w:spacing w:line="240" w:lineRule="auto"/>
              <w:ind w:firstLine="0" w:firstLineChars="0"/>
              <w:jc w:val="center"/>
              <w:rPr>
                <w:rFonts w:hint="eastAsia"/>
                <w:sz w:val="21"/>
                <w:szCs w:val="21"/>
              </w:rPr>
            </w:pPr>
            <w:r>
              <w:rPr>
                <w:rFonts w:hint="eastAsia"/>
                <w:sz w:val="21"/>
                <w:szCs w:val="21"/>
              </w:rPr>
              <w:t>缆</w:t>
            </w:r>
          </w:p>
          <w:p>
            <w:pPr>
              <w:autoSpaceDE w:val="0"/>
              <w:autoSpaceDN w:val="0"/>
              <w:snapToGrid/>
              <w:spacing w:line="240" w:lineRule="auto"/>
              <w:ind w:firstLine="0" w:firstLineChars="0"/>
              <w:jc w:val="center"/>
              <w:rPr>
                <w:sz w:val="21"/>
                <w:szCs w:val="21"/>
              </w:rPr>
            </w:pPr>
            <w:r>
              <w:rPr>
                <w:sz w:val="21"/>
                <w:szCs w:val="21"/>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1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小(1)型</w:t>
            </w:r>
          </w:p>
        </w:tc>
        <w:tc>
          <w:tcPr>
            <w:tcW w:w="681" w:type="dxa"/>
            <w:shd w:val="clear" w:color="auto" w:fill="auto"/>
            <w:noWrap w:val="0"/>
            <w:vAlign w:val="center"/>
          </w:tcPr>
          <w:p>
            <w:pPr>
              <w:autoSpaceDE w:val="0"/>
              <w:autoSpaceDN w:val="0"/>
              <w:snapToGrid/>
              <w:spacing w:line="240" w:lineRule="auto"/>
              <w:ind w:firstLine="0" w:firstLineChars="0"/>
              <w:jc w:val="center"/>
              <w:rPr>
                <w:sz w:val="21"/>
                <w:szCs w:val="21"/>
              </w:rPr>
            </w:pPr>
            <w:r>
              <w:rPr>
                <w:sz w:val="21"/>
                <w:szCs w:val="21"/>
              </w:rPr>
              <w:t>4500</w:t>
            </w:r>
          </w:p>
        </w:tc>
        <w:tc>
          <w:tcPr>
            <w:tcW w:w="680" w:type="dxa"/>
            <w:shd w:val="clear" w:color="auto" w:fill="auto"/>
            <w:noWrap w:val="0"/>
            <w:vAlign w:val="center"/>
          </w:tcPr>
          <w:p>
            <w:pPr>
              <w:autoSpaceDE w:val="0"/>
              <w:autoSpaceDN w:val="0"/>
              <w:snapToGrid/>
              <w:spacing w:line="240" w:lineRule="auto"/>
              <w:ind w:firstLine="0" w:firstLineChars="0"/>
              <w:jc w:val="center"/>
              <w:rPr>
                <w:sz w:val="21"/>
                <w:szCs w:val="21"/>
              </w:rPr>
            </w:pPr>
            <w:r>
              <w:rPr>
                <w:sz w:val="21"/>
                <w:szCs w:val="21"/>
              </w:rPr>
              <w:t>2000</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00</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5</w:t>
            </w:r>
            <w:r>
              <w:rPr>
                <w:sz w:val="21"/>
                <w:szCs w:val="21"/>
              </w:rPr>
              <w:t>0</w:t>
            </w:r>
          </w:p>
        </w:tc>
        <w:tc>
          <w:tcPr>
            <w:tcW w:w="817"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67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0</w:t>
            </w:r>
          </w:p>
        </w:tc>
        <w:tc>
          <w:tcPr>
            <w:tcW w:w="69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0</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p>
        </w:tc>
        <w:tc>
          <w:tcPr>
            <w:tcW w:w="573"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1</w:t>
            </w:r>
            <w:r>
              <w:rPr>
                <w:sz w:val="21"/>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514"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sz w:val="21"/>
                <w:szCs w:val="21"/>
              </w:rPr>
              <w:t>洋坑水库</w:t>
            </w:r>
          </w:p>
        </w:tc>
        <w:tc>
          <w:tcPr>
            <w:tcW w:w="681"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3465</w:t>
            </w:r>
          </w:p>
        </w:tc>
        <w:tc>
          <w:tcPr>
            <w:tcW w:w="680"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1540</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385</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385</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385</w:t>
            </w:r>
          </w:p>
        </w:tc>
        <w:tc>
          <w:tcPr>
            <w:tcW w:w="64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0.8</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40</w:t>
            </w:r>
          </w:p>
        </w:tc>
        <w:tc>
          <w:tcPr>
            <w:tcW w:w="817"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1</w:t>
            </w:r>
          </w:p>
        </w:tc>
        <w:tc>
          <w:tcPr>
            <w:tcW w:w="67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8</w:t>
            </w:r>
          </w:p>
        </w:tc>
        <w:tc>
          <w:tcPr>
            <w:tcW w:w="692"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8</w:t>
            </w:r>
          </w:p>
        </w:tc>
        <w:tc>
          <w:tcPr>
            <w:tcW w:w="588"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1</w:t>
            </w:r>
          </w:p>
        </w:tc>
        <w:tc>
          <w:tcPr>
            <w:tcW w:w="573" w:type="dxa"/>
            <w:shd w:val="clear" w:color="auto" w:fill="auto"/>
            <w:noWrap w:val="0"/>
            <w:vAlign w:val="center"/>
          </w:tcPr>
          <w:p>
            <w:pPr>
              <w:autoSpaceDE w:val="0"/>
              <w:autoSpaceDN w:val="0"/>
              <w:snapToGrid/>
              <w:spacing w:line="240" w:lineRule="auto"/>
              <w:ind w:firstLine="0" w:firstLineChars="0"/>
              <w:jc w:val="center"/>
              <w:rPr>
                <w:sz w:val="21"/>
                <w:szCs w:val="21"/>
              </w:rPr>
            </w:pPr>
            <w:r>
              <w:rPr>
                <w:rFonts w:hint="eastAsia" w:ascii="等线" w:hAnsi="等线" w:eastAsia="等线"/>
                <w:color w:val="000000"/>
                <w:sz w:val="22"/>
                <w:szCs w:val="22"/>
              </w:rPr>
              <w:t>120</w:t>
            </w:r>
          </w:p>
        </w:tc>
      </w:tr>
    </w:tbl>
    <w:p>
      <w:pPr>
        <w:ind w:firstLine="480"/>
        <w:rPr>
          <w:rFonts w:hint="eastAsia" w:ascii="宋体" w:cs="宋体"/>
          <w:kern w:val="0"/>
        </w:rPr>
      </w:pPr>
      <w:r>
        <w:rPr>
          <w:rFonts w:hint="eastAsia" w:ascii="宋体" w:cs="宋体"/>
          <w:kern w:val="0"/>
        </w:rPr>
        <w:t>防汛物资应摆放整齐、堆砌平整，并在周边设置标识标牌。防汛砂石料靠近管养房储于大坝右侧坝端砂库、石库内，所建料库容积与所储物料相应，约为长1</w:t>
      </w:r>
      <w:r>
        <w:rPr>
          <w:rFonts w:ascii="宋体" w:cs="宋体"/>
          <w:kern w:val="0"/>
        </w:rPr>
        <w:t>5</w:t>
      </w:r>
      <w:r>
        <w:rPr>
          <w:rFonts w:hint="eastAsia" w:ascii="宋体" w:cs="宋体"/>
          <w:kern w:val="0"/>
        </w:rPr>
        <w:t>m，宽10m，高2.5m，需建2个，砂石料、块石分别堆放。其他防汛物资储于管理房内。</w:t>
      </w:r>
    </w:p>
    <w:p>
      <w:pPr>
        <w:pStyle w:val="2"/>
        <w:rPr>
          <w:rFonts w:hint="default"/>
          <w:lang w:val="en-US" w:eastAsia="zh-CN"/>
        </w:rPr>
      </w:pPr>
      <w:r>
        <w:rPr>
          <w:rFonts w:hint="eastAsia" w:ascii="宋体" w:cs="宋体"/>
          <w:kern w:val="0"/>
        </w:rPr>
        <w:t>管理单位应建立物资出入库管理台账，明确各类物资的规格（品种）、数量及质保期。对不符合要求的防汛物资应及时清理并更新。</w:t>
      </w: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00"/>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rP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lang w:val="en-US" w:eastAsia="zh-CN"/>
                            </w:rPr>
                            <w:t>13-</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rPr>
                        <w:rFonts w:hint="eastAsia"/>
                        <w:lang w:val="en-US" w:eastAsia="zh-CN"/>
                      </w:rPr>
                      <w:t>13-</w:t>
                    </w: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A1FE03"/>
    <w:multiLevelType w:val="multilevel"/>
    <w:tmpl w:val="9FA1FE03"/>
    <w:lvl w:ilvl="0" w:tentative="0">
      <w:start w:val="4"/>
      <w:numFmt w:val="decimal"/>
      <w:pStyle w:val="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ascii="Times New Roman" w:hAnsi="Times New Roman" w:eastAsia="宋体" w:cs="Times New Roman"/>
        <w:b/>
        <w:i w:val="0"/>
      </w:rPr>
    </w:lvl>
    <w:lvl w:ilvl="2" w:tentative="0">
      <w:start w:val="1"/>
      <w:numFmt w:val="decimal"/>
      <w:lvlText w:val="%1.%2.%3"/>
      <w:lvlJc w:val="left"/>
      <w:pPr>
        <w:tabs>
          <w:tab w:val="left" w:pos="720"/>
        </w:tabs>
        <w:ind w:left="720" w:hanging="720"/>
      </w:pPr>
      <w:rPr>
        <w:rFonts w:hint="default" w:ascii="Times New Roman" w:hAnsi="Times New Roman" w:eastAsia="宋体" w:cs="Times New Roman"/>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2JjZjdiOTJhNjAyOTFkM2U4OGE3NjI4ODQ3MTgifQ=="/>
  </w:docVars>
  <w:rsids>
    <w:rsidRoot w:val="00000000"/>
    <w:rsid w:val="0B09160F"/>
    <w:rsid w:val="0B7F0123"/>
    <w:rsid w:val="0D431BDA"/>
    <w:rsid w:val="0DC31DBE"/>
    <w:rsid w:val="0EA55FC8"/>
    <w:rsid w:val="13344CA4"/>
    <w:rsid w:val="175E73CA"/>
    <w:rsid w:val="1CA002D9"/>
    <w:rsid w:val="24D35E92"/>
    <w:rsid w:val="266E47E1"/>
    <w:rsid w:val="287C29F4"/>
    <w:rsid w:val="292A10CE"/>
    <w:rsid w:val="29692FA5"/>
    <w:rsid w:val="2F2A280A"/>
    <w:rsid w:val="2F706A52"/>
    <w:rsid w:val="328E572C"/>
    <w:rsid w:val="3582027D"/>
    <w:rsid w:val="410007D4"/>
    <w:rsid w:val="432C01F7"/>
    <w:rsid w:val="454F71C6"/>
    <w:rsid w:val="477B82AC"/>
    <w:rsid w:val="4D787676"/>
    <w:rsid w:val="536F131E"/>
    <w:rsid w:val="56246FB6"/>
    <w:rsid w:val="5B5D7EBE"/>
    <w:rsid w:val="5DFE6619"/>
    <w:rsid w:val="649A4E24"/>
    <w:rsid w:val="6CF25372"/>
    <w:rsid w:val="6DE26FFD"/>
    <w:rsid w:val="6FF30595"/>
    <w:rsid w:val="70C97C1B"/>
    <w:rsid w:val="77CC50AF"/>
    <w:rsid w:val="79A57AA3"/>
    <w:rsid w:val="7A6A78F6"/>
    <w:rsid w:val="7A872AE3"/>
    <w:rsid w:val="7BA905B1"/>
    <w:rsid w:val="7C261A2D"/>
    <w:rsid w:val="7CAB7325"/>
    <w:rsid w:val="7FBF74B3"/>
    <w:rsid w:val="B37D037C"/>
    <w:rsid w:val="DFF7B0FF"/>
    <w:rsid w:val="FFDF97EB"/>
    <w:rsid w:val="FFEAB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ind w:firstLine="96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keepLines/>
      <w:pageBreakBefore/>
      <w:numPr>
        <w:ilvl w:val="0"/>
        <w:numId w:val="1"/>
      </w:numPr>
      <w:spacing w:line="520" w:lineRule="exact"/>
      <w:jc w:val="center"/>
      <w:outlineLvl w:val="0"/>
    </w:pPr>
    <w:rPr>
      <w:rFonts w:eastAsia="黑体"/>
      <w:color w:val="000000"/>
      <w:kern w:val="44"/>
      <w:sz w:val="30"/>
      <w:szCs w:val="20"/>
    </w:rPr>
  </w:style>
  <w:style w:type="paragraph" w:styleId="5">
    <w:name w:val="heading 2"/>
    <w:basedOn w:val="1"/>
    <w:next w:val="1"/>
    <w:unhideWhenUsed/>
    <w:qFormat/>
    <w:uiPriority w:val="0"/>
    <w:pPr>
      <w:keepNext/>
      <w:keepLines/>
      <w:spacing w:beforeLines="0" w:beforeAutospacing="0" w:afterLines="0" w:afterAutospacing="0" w:line="520" w:lineRule="exact"/>
      <w:ind w:firstLine="0" w:firstLineChars="0"/>
      <w:jc w:val="left"/>
      <w:outlineLvl w:val="1"/>
    </w:pPr>
    <w:rPr>
      <w:rFonts w:ascii="Arial" w:hAnsi="Arial" w:eastAsia="黑体"/>
      <w:sz w:val="28"/>
    </w:rPr>
  </w:style>
  <w:style w:type="paragraph" w:styleId="6">
    <w:name w:val="heading 3"/>
    <w:basedOn w:val="1"/>
    <w:next w:val="1"/>
    <w:unhideWhenUsed/>
    <w:qFormat/>
    <w:uiPriority w:val="0"/>
    <w:pPr>
      <w:keepNext/>
      <w:keepLines/>
      <w:spacing w:beforeLines="0" w:beforeAutospacing="0" w:afterLines="0" w:afterAutospacing="0" w:line="360" w:lineRule="auto"/>
      <w:ind w:firstLine="0" w:firstLineChars="0"/>
      <w:jc w:val="left"/>
      <w:outlineLvl w:val="2"/>
    </w:pPr>
    <w:rPr>
      <w:b/>
    </w:rPr>
  </w:style>
  <w:style w:type="paragraph" w:styleId="7">
    <w:name w:val="heading 4"/>
    <w:basedOn w:val="1"/>
    <w:next w:val="1"/>
    <w:link w:val="21"/>
    <w:unhideWhenUsed/>
    <w:qFormat/>
    <w:uiPriority w:val="0"/>
    <w:pPr>
      <w:keepNext/>
      <w:keepLines/>
      <w:spacing w:beforeLines="0" w:beforeAutospacing="0" w:afterLines="0" w:afterAutospacing="0" w:line="360" w:lineRule="auto"/>
      <w:ind w:firstLine="0" w:firstLineChars="0"/>
      <w:jc w:val="left"/>
      <w:outlineLvl w:val="3"/>
    </w:pPr>
    <w:rPr>
      <w:rFonts w:ascii="Times New Roman" w:hAnsi="Times New Roman" w:eastAsia="宋体"/>
      <w:sz w:val="24"/>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eastAsia="宋体" w:cs="Times New Roman"/>
      <w:szCs w:val="22"/>
    </w:rPr>
  </w:style>
  <w:style w:type="paragraph" w:styleId="3">
    <w:name w:val="List"/>
    <w:basedOn w:val="1"/>
    <w:qFormat/>
    <w:uiPriority w:val="0"/>
    <w:pPr>
      <w:ind w:left="200" w:hanging="200" w:hangingChars="200"/>
    </w:pPr>
  </w:style>
  <w:style w:type="paragraph" w:styleId="8">
    <w:name w:val="caption"/>
    <w:basedOn w:val="1"/>
    <w:next w:val="1"/>
    <w:unhideWhenUsed/>
    <w:qFormat/>
    <w:uiPriority w:val="35"/>
    <w:pPr>
      <w:textAlignment w:val="center"/>
    </w:pPr>
    <w:rPr>
      <w:rFonts w:eastAsia="黑体"/>
      <w:sz w:val="21"/>
      <w:szCs w:val="20"/>
    </w:rPr>
  </w:style>
  <w:style w:type="paragraph" w:styleId="9">
    <w:name w:val="annotation text"/>
    <w:basedOn w:val="1"/>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正文(小4宋)"/>
    <w:basedOn w:val="1"/>
    <w:qFormat/>
    <w:uiPriority w:val="0"/>
    <w:pPr>
      <w:adjustRightInd/>
      <w:snapToGrid/>
      <w:spacing w:line="520" w:lineRule="exact"/>
      <w:ind w:firstLine="200" w:firstLineChars="200"/>
      <w:jc w:val="both"/>
    </w:pPr>
    <w:rPr>
      <w:rFonts w:ascii="宋体"/>
      <w:szCs w:val="20"/>
    </w:rPr>
  </w:style>
  <w:style w:type="paragraph" w:customStyle="1" w:styleId="19">
    <w:name w:val="正文 首行缩进： 2 字符"/>
    <w:basedOn w:val="1"/>
    <w:qFormat/>
    <w:uiPriority w:val="0"/>
    <w:pPr>
      <w:ind w:firstLine="480" w:firstLineChars="200"/>
      <w:textAlignment w:val="center"/>
    </w:pPr>
    <w:rPr>
      <w:rFonts w:cs="宋体"/>
      <w:szCs w:val="20"/>
      <w:lang w:val="zh-CN"/>
    </w:rPr>
  </w:style>
  <w:style w:type="paragraph" w:styleId="20">
    <w:name w:val="List Paragraph"/>
    <w:basedOn w:val="1"/>
    <w:qFormat/>
    <w:uiPriority w:val="34"/>
    <w:pPr>
      <w:ind w:firstLine="420" w:firstLineChars="200"/>
    </w:pPr>
  </w:style>
  <w:style w:type="character" w:customStyle="1" w:styleId="21">
    <w:name w:val="标题 4 Char"/>
    <w:link w:val="7"/>
    <w:qFormat/>
    <w:uiPriority w:val="0"/>
    <w:rPr>
      <w:rFonts w:ascii="Times New Roman" w:hAnsi="Times New Roman" w:eastAsia="宋体"/>
      <w:sz w:val="24"/>
    </w:rPr>
  </w:style>
  <w:style w:type="paragraph" w:customStyle="1" w:styleId="22">
    <w:name w:val="HCH封面4"/>
    <w:qFormat/>
    <w:uiPriority w:val="0"/>
    <w:pPr>
      <w:widowControl w:val="0"/>
      <w:spacing w:line="360" w:lineRule="auto"/>
      <w:jc w:val="center"/>
    </w:pPr>
    <w:rPr>
      <w:rFonts w:ascii="Times New Roman" w:hAnsi="Times New Roman" w:eastAsia="黑体" w:cs="Times New Roman"/>
      <w:kern w:val="2"/>
      <w:sz w:val="44"/>
      <w:szCs w:val="36"/>
      <w:lang w:val="en-US" w:eastAsia="zh-CN" w:bidi="ar-SA"/>
    </w:rPr>
  </w:style>
  <w:style w:type="paragraph" w:customStyle="1" w:styleId="23">
    <w:name w:val="HCH正文"/>
    <w:qFormat/>
    <w:uiPriority w:val="0"/>
    <w:pPr>
      <w:spacing w:line="500" w:lineRule="exact"/>
      <w:ind w:firstLine="200" w:firstLineChars="200"/>
    </w:pPr>
    <w:rPr>
      <w:rFonts w:ascii="Times New Roman" w:hAnsi="Times New Roman" w:eastAsia="宋体" w:cs="Times New Roman"/>
      <w:kern w:val="2"/>
      <w:sz w:val="24"/>
      <w:szCs w:val="21"/>
      <w:lang w:val="en-US" w:eastAsia="zh-CN" w:bidi="ar-SA"/>
    </w:rPr>
  </w:style>
  <w:style w:type="character" w:customStyle="1" w:styleId="24">
    <w:name w:val="font11"/>
    <w:basedOn w:val="16"/>
    <w:qFormat/>
    <w:uiPriority w:val="0"/>
    <w:rPr>
      <w:rFonts w:hint="default" w:ascii="Times New Roman" w:hAnsi="Times New Roman" w:cs="Times New Roman"/>
      <w:b/>
      <w:color w:val="000000"/>
      <w:sz w:val="22"/>
      <w:szCs w:val="22"/>
      <w:u w:val="none"/>
    </w:rPr>
  </w:style>
  <w:style w:type="character" w:customStyle="1" w:styleId="25">
    <w:name w:val="font31"/>
    <w:basedOn w:val="16"/>
    <w:qFormat/>
    <w:uiPriority w:val="0"/>
    <w:rPr>
      <w:rFonts w:hint="eastAsia" w:ascii="宋体" w:hAnsi="宋体" w:eastAsia="宋体" w:cs="宋体"/>
      <w:b/>
      <w:color w:val="000000"/>
      <w:sz w:val="22"/>
      <w:szCs w:val="22"/>
      <w:u w:val="none"/>
    </w:rPr>
  </w:style>
  <w:style w:type="character" w:customStyle="1" w:styleId="26">
    <w:name w:val="font41"/>
    <w:basedOn w:val="16"/>
    <w:qFormat/>
    <w:uiPriority w:val="0"/>
    <w:rPr>
      <w:rFonts w:hint="default" w:ascii="Times New Roman" w:hAnsi="Times New Roman" w:cs="Times New Roman"/>
      <w:color w:val="000000"/>
      <w:sz w:val="22"/>
      <w:szCs w:val="22"/>
      <w:u w:val="none"/>
    </w:rPr>
  </w:style>
  <w:style w:type="character" w:customStyle="1" w:styleId="27">
    <w:name w:val="font61"/>
    <w:basedOn w:val="16"/>
    <w:qFormat/>
    <w:uiPriority w:val="0"/>
    <w:rPr>
      <w:rFonts w:hint="eastAsia" w:ascii="宋体" w:hAnsi="宋体" w:eastAsia="宋体" w:cs="宋体"/>
      <w:color w:val="000000"/>
      <w:sz w:val="22"/>
      <w:szCs w:val="22"/>
      <w:u w:val="none"/>
    </w:rPr>
  </w:style>
  <w:style w:type="character" w:customStyle="1" w:styleId="28">
    <w:name w:val="font91"/>
    <w:basedOn w:val="16"/>
    <w:qFormat/>
    <w:uiPriority w:val="0"/>
    <w:rPr>
      <w:rFonts w:hint="default" w:ascii="Times New Roman" w:hAnsi="Times New Roman" w:cs="Times New Roman"/>
      <w:color w:val="000000"/>
      <w:sz w:val="21"/>
      <w:szCs w:val="21"/>
      <w:u w:val="none"/>
    </w:rPr>
  </w:style>
  <w:style w:type="character" w:customStyle="1" w:styleId="29">
    <w:name w:val="font101"/>
    <w:basedOn w:val="16"/>
    <w:qFormat/>
    <w:uiPriority w:val="0"/>
    <w:rPr>
      <w:rFonts w:hint="eastAsia" w:ascii="宋体" w:hAnsi="宋体" w:eastAsia="宋体" w:cs="宋体"/>
      <w:color w:val="000000"/>
      <w:sz w:val="21"/>
      <w:szCs w:val="21"/>
      <w:u w:val="none"/>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1440521-46f8-4f25-a6d3-c9a0e0949bd7}"/>
        <w:style w:val=""/>
        <w:category>
          <w:name w:val="常规"/>
          <w:gallery w:val="placeholder"/>
        </w:category>
        <w:types>
          <w:type w:val="bbPlcHdr"/>
        </w:types>
        <w:behaviors>
          <w:behavior w:val="content"/>
        </w:behaviors>
        <w:description w:val=""/>
        <w:guid w:val="{c1440521-46f8-4f25-a6d3-c9a0e0949bd7}"/>
      </w:docPartPr>
      <w:docPartBody>
        <w:p>
          <w:r>
            <w:rPr>
              <w:color w:val="808080"/>
            </w:rPr>
            <w:t>单击此处输入文字。</w:t>
          </w:r>
        </w:p>
      </w:docPartBody>
    </w:docPart>
    <w:docPart>
      <w:docPartPr>
        <w:name w:val="{b4228668-bbab-4228-b048-630c3238b0a7}"/>
        <w:style w:val=""/>
        <w:category>
          <w:name w:val="常规"/>
          <w:gallery w:val="placeholder"/>
        </w:category>
        <w:types>
          <w:type w:val="bbPlcHdr"/>
        </w:types>
        <w:behaviors>
          <w:behavior w:val="content"/>
        </w:behaviors>
        <w:description w:val=""/>
        <w:guid w:val="{b4228668-bbab-4228-b048-630c3238b0a7}"/>
      </w:docPartPr>
      <w:docPartBody>
        <w:p>
          <w:r>
            <w:rPr>
              <w:color w:val="808080"/>
            </w:rPr>
            <w:t>单击此处输入文字。</w:t>
          </w:r>
        </w:p>
      </w:docPartBody>
    </w:docPart>
    <w:docPart>
      <w:docPartPr>
        <w:name w:val="{dba68223-f530-44d9-b12b-d61e12974e9d}"/>
        <w:style w:val=""/>
        <w:category>
          <w:name w:val="常规"/>
          <w:gallery w:val="placeholder"/>
        </w:category>
        <w:types>
          <w:type w:val="bbPlcHdr"/>
        </w:types>
        <w:behaviors>
          <w:behavior w:val="content"/>
        </w:behaviors>
        <w:description w:val=""/>
        <w:guid w:val="{dba68223-f530-44d9-b12b-d61e12974e9d}"/>
      </w:docPartPr>
      <w:docPartBody>
        <w:p>
          <w:r>
            <w:rPr>
              <w:color w:val="808080"/>
            </w:rPr>
            <w:t>单击此处输入文字。</w:t>
          </w:r>
        </w:p>
      </w:docPartBody>
    </w:docPart>
    <w:docPart>
      <w:docPartPr>
        <w:name w:val="{f568cc51-d2c4-4e7d-ac2c-00c4e753322d}"/>
        <w:style w:val=""/>
        <w:category>
          <w:name w:val="常规"/>
          <w:gallery w:val="placeholder"/>
        </w:category>
        <w:types>
          <w:type w:val="bbPlcHdr"/>
        </w:types>
        <w:behaviors>
          <w:behavior w:val="content"/>
        </w:behaviors>
        <w:description w:val=""/>
        <w:guid w:val="{f568cc51-d2c4-4e7d-ac2c-00c4e753322d}"/>
      </w:docPartPr>
      <w:docPartBody>
        <w:p>
          <w:r>
            <w:rPr>
              <w:color w:val="808080"/>
            </w:rPr>
            <w:t>单击此处输入文字。</w:t>
          </w:r>
        </w:p>
      </w:docPartBody>
    </w:docPart>
    <w:docPart>
      <w:docPartPr>
        <w:name w:val="{b8cade3e-97a1-4748-a10c-1637c431eb4c}"/>
        <w:style w:val=""/>
        <w:category>
          <w:name w:val="常规"/>
          <w:gallery w:val="placeholder"/>
        </w:category>
        <w:types>
          <w:type w:val="bbPlcHdr"/>
        </w:types>
        <w:behaviors>
          <w:behavior w:val="content"/>
        </w:behaviors>
        <w:description w:val=""/>
        <w:guid w:val="{b8cade3e-97a1-4748-a10c-1637c431eb4c}"/>
      </w:docPartPr>
      <w:docPartBody>
        <w:p>
          <w:r>
            <w:rPr>
              <w:color w:val="808080"/>
            </w:rPr>
            <w:t>单击此处输入文字。</w:t>
          </w:r>
        </w:p>
      </w:docPartBody>
    </w:docPart>
    <w:docPart>
      <w:docPartPr>
        <w:name w:val="{5901ee7d-6391-46a8-a8d3-b6c52dd19a19}"/>
        <w:style w:val=""/>
        <w:category>
          <w:name w:val="常规"/>
          <w:gallery w:val="placeholder"/>
        </w:category>
        <w:types>
          <w:type w:val="bbPlcHdr"/>
        </w:types>
        <w:behaviors>
          <w:behavior w:val="content"/>
        </w:behaviors>
        <w:description w:val=""/>
        <w:guid w:val="{5901ee7d-6391-46a8-a8d3-b6c52dd19a1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9287</Words>
  <Characters>10166</Characters>
  <Lines>0</Lines>
  <Paragraphs>0</Paragraphs>
  <TotalTime>0</TotalTime>
  <ScaleCrop>false</ScaleCrop>
  <LinksUpToDate>false</LinksUpToDate>
  <CharactersWithSpaces>10370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2022-04-27T09:19:00Z</dcterms:created>
  <dc:creator>zbh</dc:creator>
  <cp:lastModifiedBy>bhzhao</cp:lastModifiedBy>
  <dcterms:modified xsi:type="dcterms:W3CDTF">2023-04-03T10:15:23Z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CC52F1EC407D40C1B43EC45A5D4999F7</vt:lpwstr>
  </property>
</Properties>
</file>